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56"/>
          <w:szCs w:val="56"/>
        </w:rPr>
      </w:pPr>
    </w:p>
    <w:p>
      <w:pPr>
        <w:pStyle w:val="10"/>
        <w:jc w:val="center"/>
        <w:rPr>
          <w:sz w:val="56"/>
          <w:szCs w:val="56"/>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2021年度</w:t>
      </w:r>
    </w:p>
    <w:p>
      <w:pPr>
        <w:pStyle w:val="10"/>
        <w:jc w:val="center"/>
        <w:rPr>
          <w:sz w:val="84"/>
          <w:szCs w:val="84"/>
        </w:rPr>
      </w:pPr>
      <w:r>
        <w:rPr>
          <w:rFonts w:hint="eastAsia"/>
          <w:sz w:val="84"/>
          <w:szCs w:val="84"/>
        </w:rPr>
        <w:t>湖南省林业科学院部门决算</w:t>
      </w: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56"/>
          <w:szCs w:val="56"/>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jc w:val="center"/>
        <w:rPr>
          <w:sz w:val="32"/>
          <w:szCs w:val="32"/>
        </w:rPr>
      </w:pPr>
    </w:p>
    <w:p>
      <w:pPr>
        <w:pStyle w:val="10"/>
        <w:spacing w:line="540" w:lineRule="exact"/>
        <w:jc w:val="center"/>
        <w:rPr>
          <w:sz w:val="56"/>
          <w:szCs w:val="56"/>
        </w:rPr>
      </w:pPr>
    </w:p>
    <w:p>
      <w:pPr>
        <w:pStyle w:val="10"/>
        <w:spacing w:line="500" w:lineRule="exact"/>
        <w:jc w:val="center"/>
        <w:rPr>
          <w:b/>
          <w:sz w:val="36"/>
          <w:szCs w:val="28"/>
        </w:rPr>
      </w:pPr>
    </w:p>
    <w:p>
      <w:pPr>
        <w:pStyle w:val="10"/>
        <w:spacing w:line="500" w:lineRule="exact"/>
        <w:jc w:val="center"/>
        <w:rPr>
          <w:b/>
          <w:sz w:val="36"/>
          <w:szCs w:val="28"/>
        </w:rPr>
      </w:pPr>
    </w:p>
    <w:p>
      <w:pPr>
        <w:pStyle w:val="10"/>
        <w:spacing w:line="500" w:lineRule="exact"/>
        <w:jc w:val="center"/>
        <w:rPr>
          <w:b/>
          <w:sz w:val="36"/>
          <w:szCs w:val="28"/>
        </w:rPr>
      </w:pPr>
      <w:r>
        <w:rPr>
          <w:rFonts w:hint="eastAsia"/>
          <w:b/>
          <w:sz w:val="36"/>
          <w:szCs w:val="28"/>
        </w:rPr>
        <w:t>目录</w:t>
      </w:r>
    </w:p>
    <w:p>
      <w:pPr>
        <w:pStyle w:val="10"/>
        <w:spacing w:line="500" w:lineRule="exact"/>
        <w:rPr>
          <w:rFonts w:hAnsi="黑体" w:cs="仿宋_GB2312"/>
          <w:b/>
          <w:sz w:val="28"/>
          <w:szCs w:val="28"/>
        </w:rPr>
      </w:pPr>
      <w:r>
        <w:rPr>
          <w:rFonts w:hint="eastAsia" w:hAnsi="黑体"/>
          <w:b/>
          <w:sz w:val="28"/>
          <w:szCs w:val="28"/>
        </w:rPr>
        <w:t>第一部分湖南省林业科学院概况</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w:t>
      </w:r>
      <w:r>
        <w:rPr>
          <w:rFonts w:hint="eastAsia" w:cs="仿宋_GB2312" w:asciiTheme="minorEastAsia" w:hAnsiTheme="minorEastAsia" w:eastAsiaTheme="minorEastAsia"/>
          <w:sz w:val="28"/>
          <w:szCs w:val="28"/>
        </w:rPr>
        <w:t>部门</w:t>
      </w:r>
      <w:r>
        <w:rPr>
          <w:rFonts w:cs="仿宋_GB2312" w:asciiTheme="minorEastAsia" w:hAnsiTheme="minorEastAsia" w:eastAsiaTheme="minorEastAsia"/>
          <w:sz w:val="28"/>
          <w:szCs w:val="28"/>
        </w:rPr>
        <w:t>职责</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0"/>
        <w:spacing w:line="500" w:lineRule="exact"/>
        <w:rPr>
          <w:rFonts w:hAnsi="黑体" w:cs="仿宋_GB2312"/>
          <w:b/>
          <w:sz w:val="28"/>
          <w:szCs w:val="28"/>
        </w:rPr>
      </w:pPr>
      <w:r>
        <w:rPr>
          <w:rFonts w:hint="eastAsia" w:hAnsi="黑体"/>
          <w:b/>
          <w:sz w:val="28"/>
          <w:szCs w:val="28"/>
        </w:rPr>
        <w:t>第二部分</w:t>
      </w:r>
      <w:r>
        <w:rPr>
          <w:rFonts w:hAnsi="黑体"/>
          <w:b/>
          <w:sz w:val="28"/>
          <w:szCs w:val="28"/>
        </w:rPr>
        <w:t>20</w:t>
      </w:r>
      <w:r>
        <w:rPr>
          <w:rFonts w:hint="eastAsia" w:hAnsi="黑体"/>
          <w:b/>
          <w:sz w:val="28"/>
          <w:szCs w:val="28"/>
        </w:rPr>
        <w:t>21年度部门决算表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0"/>
        <w:spacing w:line="500" w:lineRule="exact"/>
        <w:rPr>
          <w:rFonts w:hAnsi="黑体" w:cs="仿宋_GB2312"/>
          <w:b/>
          <w:sz w:val="28"/>
          <w:szCs w:val="28"/>
        </w:rPr>
      </w:pPr>
      <w:r>
        <w:rPr>
          <w:rFonts w:hint="eastAsia" w:hAnsi="黑体"/>
          <w:b/>
          <w:sz w:val="28"/>
          <w:szCs w:val="28"/>
        </w:rPr>
        <w:t>第三部分</w:t>
      </w:r>
      <w:r>
        <w:rPr>
          <w:rFonts w:hAnsi="黑体"/>
          <w:b/>
          <w:sz w:val="28"/>
          <w:szCs w:val="28"/>
        </w:rPr>
        <w:t>20</w:t>
      </w:r>
      <w:r>
        <w:rPr>
          <w:rFonts w:hint="eastAsia" w:hAnsi="黑体"/>
          <w:b/>
          <w:sz w:val="28"/>
          <w:szCs w:val="28"/>
        </w:rPr>
        <w:t>21年度部门决算情况说明</w:t>
      </w:r>
    </w:p>
    <w:p>
      <w:pPr>
        <w:pStyle w:val="1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cs="仿宋_GB2312" w:asciiTheme="minorEastAsia" w:hAnsiTheme="minorEastAsia"/>
          <w:sz w:val="28"/>
          <w:szCs w:val="28"/>
        </w:rPr>
      </w:pPr>
      <w:r>
        <w:rPr>
          <w:rFonts w:cs="仿宋_GB2312" w:asciiTheme="minorEastAsia" w:hAnsiTheme="minorEastAsia"/>
          <w:sz w:val="28"/>
          <w:szCs w:val="28"/>
        </w:rPr>
        <w:t>二、收入决算情况说明</w:t>
      </w:r>
    </w:p>
    <w:p>
      <w:pPr>
        <w:autoSpaceDE w:val="0"/>
        <w:autoSpaceDN w:val="0"/>
        <w:adjustRightInd w:val="0"/>
        <w:spacing w:line="500" w:lineRule="exact"/>
        <w:ind w:firstLine="700" w:firstLineChars="250"/>
        <w:jc w:val="left"/>
        <w:rPr>
          <w:rFonts w:cs="仿宋_GB2312" w:asciiTheme="minorEastAsia" w:hAnsiTheme="minorEastAsia"/>
          <w:color w:val="000000"/>
          <w:kern w:val="0"/>
          <w:sz w:val="28"/>
          <w:szCs w:val="28"/>
        </w:rPr>
      </w:pPr>
      <w:r>
        <w:rPr>
          <w:rFonts w:cs="仿宋_GB2312" w:asciiTheme="minorEastAsia" w:hAnsiTheme="minorEastAsia"/>
          <w:color w:val="000000"/>
          <w:kern w:val="0"/>
          <w:sz w:val="28"/>
          <w:szCs w:val="28"/>
        </w:rPr>
        <w:t>三、支出决算情况说明</w:t>
      </w:r>
    </w:p>
    <w:p>
      <w:pPr>
        <w:autoSpaceDE w:val="0"/>
        <w:autoSpaceDN w:val="0"/>
        <w:adjustRightInd w:val="0"/>
        <w:spacing w:line="500" w:lineRule="exact"/>
        <w:ind w:firstLine="700" w:firstLineChars="250"/>
        <w:jc w:val="left"/>
        <w:rPr>
          <w:rFonts w:cs="仿宋_GB2312" w:asciiTheme="minorEastAsia" w:hAnsiTheme="minorEastAsia"/>
          <w:color w:val="000000"/>
          <w:kern w:val="0"/>
          <w:sz w:val="28"/>
          <w:szCs w:val="28"/>
        </w:rPr>
      </w:pPr>
      <w:r>
        <w:rPr>
          <w:rFonts w:cs="仿宋_GB2312" w:asciiTheme="minorEastAsia" w:hAnsiTheme="minorEastAsia"/>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cs="仿宋_GB2312" w:asciiTheme="minorEastAsia" w:hAnsiTheme="minorEastAsia"/>
          <w:color w:val="000000"/>
          <w:kern w:val="0"/>
          <w:sz w:val="28"/>
          <w:szCs w:val="28"/>
        </w:rPr>
      </w:pPr>
      <w:r>
        <w:rPr>
          <w:rFonts w:cs="仿宋_GB2312" w:asciiTheme="minorEastAsia" w:hAnsiTheme="minorEastAsia"/>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cs="仿宋_GB2312" w:asciiTheme="minorEastAsia" w:hAnsiTheme="minorEastAsia"/>
          <w:color w:val="000000"/>
          <w:kern w:val="0"/>
          <w:sz w:val="28"/>
          <w:szCs w:val="28"/>
        </w:rPr>
      </w:pPr>
      <w:r>
        <w:rPr>
          <w:rFonts w:cs="仿宋_GB2312" w:asciiTheme="minorEastAsia" w:hAnsiTheme="minorEastAsia"/>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cs="仿宋_GB2312" w:asciiTheme="minorEastAsia" w:hAnsiTheme="minorEastAsia"/>
          <w:color w:val="000000"/>
          <w:kern w:val="0"/>
          <w:sz w:val="28"/>
          <w:szCs w:val="28"/>
        </w:rPr>
      </w:pPr>
      <w:r>
        <w:rPr>
          <w:rFonts w:cs="仿宋_GB2312" w:asciiTheme="minorEastAsia" w:hAnsiTheme="minorEastAsia"/>
          <w:color w:val="000000"/>
          <w:kern w:val="0"/>
          <w:sz w:val="28"/>
          <w:szCs w:val="28"/>
        </w:rPr>
        <w:t>七、一般公共预算财政拨款</w:t>
      </w:r>
      <w:r>
        <w:rPr>
          <w:rFonts w:hint="eastAsia" w:cs="仿宋_GB2312" w:asciiTheme="minorEastAsia" w:hAnsiTheme="minorEastAsia"/>
          <w:color w:val="000000"/>
          <w:kern w:val="0"/>
          <w:sz w:val="28"/>
          <w:szCs w:val="28"/>
        </w:rPr>
        <w:t>“</w:t>
      </w:r>
      <w:r>
        <w:rPr>
          <w:rFonts w:cs="仿宋_GB2312" w:asciiTheme="minorEastAsia" w:hAnsiTheme="minorEastAsia"/>
          <w:color w:val="000000"/>
          <w:kern w:val="0"/>
          <w:sz w:val="28"/>
          <w:szCs w:val="28"/>
        </w:rPr>
        <w:t>三公</w:t>
      </w:r>
      <w:r>
        <w:rPr>
          <w:rFonts w:hint="eastAsia" w:cs="仿宋_GB2312" w:asciiTheme="minorEastAsia" w:hAnsiTheme="minorEastAsia"/>
          <w:color w:val="000000"/>
          <w:kern w:val="0"/>
          <w:sz w:val="28"/>
          <w:szCs w:val="28"/>
        </w:rPr>
        <w:t>”</w:t>
      </w:r>
      <w:r>
        <w:rPr>
          <w:rFonts w:cs="仿宋_GB2312" w:asciiTheme="minorEastAsia" w:hAnsiTheme="minorEastAsia"/>
          <w:color w:val="000000"/>
          <w:kern w:val="0"/>
          <w:sz w:val="28"/>
          <w:szCs w:val="28"/>
        </w:rPr>
        <w:t>经费支出决算情况说明</w:t>
      </w:r>
    </w:p>
    <w:p>
      <w:pPr>
        <w:autoSpaceDE w:val="0"/>
        <w:autoSpaceDN w:val="0"/>
        <w:adjustRightInd w:val="0"/>
        <w:spacing w:line="500" w:lineRule="exact"/>
        <w:ind w:firstLine="700" w:firstLineChars="250"/>
        <w:jc w:val="left"/>
        <w:rPr>
          <w:rFonts w:cs="仿宋_GB2312" w:asciiTheme="minorEastAsia" w:hAnsiTheme="minorEastAsia"/>
          <w:color w:val="000000"/>
          <w:kern w:val="0"/>
          <w:sz w:val="28"/>
          <w:szCs w:val="28"/>
        </w:rPr>
      </w:pPr>
      <w:r>
        <w:rPr>
          <w:rFonts w:hint="eastAsia" w:cs="仿宋_GB2312" w:asciiTheme="minorEastAsia" w:hAnsiTheme="minorEastAsia"/>
          <w:color w:val="000000"/>
          <w:kern w:val="0"/>
          <w:sz w:val="28"/>
          <w:szCs w:val="28"/>
        </w:rPr>
        <w:t>八</w:t>
      </w:r>
      <w:r>
        <w:rPr>
          <w:rFonts w:cs="仿宋_GB2312" w:asciiTheme="minorEastAsia" w:hAnsiTheme="minorEastAsia"/>
          <w:color w:val="000000"/>
          <w:kern w:val="0"/>
          <w:sz w:val="28"/>
          <w:szCs w:val="28"/>
        </w:rPr>
        <w:t>、</w:t>
      </w:r>
      <w:r>
        <w:rPr>
          <w:rFonts w:hint="eastAsia" w:cs="仿宋_GB2312" w:asciiTheme="minorEastAsia" w:hAnsiTheme="minorEastAsia"/>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cs="仿宋_GB2312" w:asciiTheme="minorEastAsia" w:hAnsiTheme="minorEastAsia"/>
          <w:color w:val="000000"/>
          <w:kern w:val="0"/>
          <w:sz w:val="28"/>
          <w:szCs w:val="28"/>
        </w:rPr>
      </w:pPr>
      <w:r>
        <w:rPr>
          <w:rFonts w:hint="eastAsia" w:cs="仿宋_GB2312" w:asciiTheme="minorEastAsia" w:hAnsiTheme="minorEastAsia"/>
          <w:color w:val="000000"/>
          <w:kern w:val="0"/>
          <w:sz w:val="28"/>
          <w:szCs w:val="28"/>
        </w:rPr>
        <w:t>九</w:t>
      </w:r>
      <w:r>
        <w:rPr>
          <w:rFonts w:cs="仿宋_GB2312" w:asciiTheme="minorEastAsia" w:hAnsiTheme="minorEastAsia"/>
          <w:color w:val="000000"/>
          <w:kern w:val="0"/>
          <w:sz w:val="28"/>
          <w:szCs w:val="28"/>
        </w:rPr>
        <w:t>、</w:t>
      </w:r>
      <w:r>
        <w:rPr>
          <w:rFonts w:hint="eastAsia" w:cs="仿宋_GB2312" w:asciiTheme="minorEastAsia" w:hAnsiTheme="minorEastAsia"/>
          <w:color w:val="000000"/>
          <w:kern w:val="0"/>
          <w:sz w:val="28"/>
          <w:szCs w:val="28"/>
        </w:rPr>
        <w:t>机关运行经费支出说明</w:t>
      </w:r>
    </w:p>
    <w:p>
      <w:pPr>
        <w:autoSpaceDE w:val="0"/>
        <w:autoSpaceDN w:val="0"/>
        <w:adjustRightInd w:val="0"/>
        <w:spacing w:line="500" w:lineRule="exact"/>
        <w:ind w:firstLine="700" w:firstLineChars="250"/>
        <w:jc w:val="left"/>
        <w:rPr>
          <w:rFonts w:cs="仿宋_GB2312" w:asciiTheme="minorEastAsia" w:hAnsiTheme="minorEastAsia"/>
          <w:color w:val="000000"/>
          <w:kern w:val="0"/>
          <w:sz w:val="28"/>
          <w:szCs w:val="28"/>
        </w:rPr>
      </w:pPr>
      <w:r>
        <w:rPr>
          <w:rFonts w:hint="eastAsia" w:cs="仿宋_GB2312" w:asciiTheme="minorEastAsia" w:hAnsiTheme="minorEastAsia"/>
          <w:color w:val="000000"/>
          <w:kern w:val="0"/>
          <w:sz w:val="28"/>
          <w:szCs w:val="28"/>
        </w:rPr>
        <w:t>十、一般性支出情况</w:t>
      </w:r>
    </w:p>
    <w:p>
      <w:pPr>
        <w:autoSpaceDE w:val="0"/>
        <w:autoSpaceDN w:val="0"/>
        <w:adjustRightInd w:val="0"/>
        <w:spacing w:line="500" w:lineRule="exact"/>
        <w:ind w:firstLine="700" w:firstLineChars="250"/>
        <w:jc w:val="left"/>
        <w:rPr>
          <w:rFonts w:cs="仿宋_GB2312" w:asciiTheme="minorEastAsia" w:hAnsiTheme="minorEastAsia"/>
          <w:color w:val="000000"/>
          <w:kern w:val="0"/>
          <w:sz w:val="28"/>
          <w:szCs w:val="28"/>
        </w:rPr>
      </w:pPr>
      <w:r>
        <w:rPr>
          <w:rFonts w:hint="eastAsia" w:cs="仿宋_GB2312" w:asciiTheme="minorEastAsia" w:hAnsiTheme="minorEastAsia"/>
          <w:color w:val="000000"/>
          <w:kern w:val="0"/>
          <w:sz w:val="28"/>
          <w:szCs w:val="28"/>
        </w:rPr>
        <w:t>十一、政府采购支出说明</w:t>
      </w:r>
    </w:p>
    <w:p>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十二、国有资产占用情况说明</w:t>
      </w:r>
    </w:p>
    <w:p>
      <w:pPr>
        <w:pStyle w:val="1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十三、2021年度预算绩效情况的说明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w:t>
      </w:r>
      <w:r>
        <w:rPr>
          <w:rFonts w:hint="eastAsia" w:ascii="黑体" w:hAnsi="黑体" w:eastAsia="黑体" w:cs="黑体"/>
          <w:b/>
          <w:color w:val="000000"/>
          <w:kern w:val="0"/>
          <w:sz w:val="28"/>
          <w:szCs w:val="28"/>
        </w:rPr>
        <w:t>五</w:t>
      </w:r>
      <w:r>
        <w:rPr>
          <w:rFonts w:ascii="黑体" w:hAnsi="黑体" w:eastAsia="黑体" w:cs="黑体"/>
          <w:b/>
          <w:color w:val="000000"/>
          <w:kern w:val="0"/>
          <w:sz w:val="28"/>
          <w:szCs w:val="28"/>
        </w:rPr>
        <w:t>部分</w:t>
      </w:r>
      <w:r>
        <w:rPr>
          <w:rFonts w:hint="eastAsia" w:ascii="黑体" w:hAnsi="黑体" w:eastAsia="黑体" w:cs="黑体"/>
          <w:b/>
          <w:color w:val="000000"/>
          <w:kern w:val="0"/>
          <w:sz w:val="28"/>
          <w:szCs w:val="28"/>
        </w:rPr>
        <w:t>附件</w:t>
      </w:r>
    </w:p>
    <w:p>
      <w:pPr>
        <w:autoSpaceDE w:val="0"/>
        <w:autoSpaceDN w:val="0"/>
        <w:adjustRightInd w:val="0"/>
        <w:spacing w:line="500" w:lineRule="exact"/>
        <w:jc w:val="left"/>
        <w:rPr>
          <w:rFonts w:ascii="黑体" w:hAnsi="黑体" w:eastAsia="黑体" w:cs="黑体"/>
          <w:b/>
          <w:color w:val="000000"/>
          <w:kern w:val="0"/>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sz w:val="84"/>
          <w:szCs w:val="84"/>
        </w:rPr>
      </w:pPr>
      <w:r>
        <w:rPr>
          <w:rFonts w:hint="eastAsia"/>
          <w:sz w:val="84"/>
          <w:szCs w:val="84"/>
        </w:rPr>
        <w:t>第一部分</w:t>
      </w:r>
    </w:p>
    <w:p>
      <w:pPr>
        <w:pStyle w:val="10"/>
        <w:jc w:val="center"/>
        <w:rPr>
          <w:sz w:val="84"/>
          <w:szCs w:val="84"/>
        </w:rPr>
      </w:pPr>
    </w:p>
    <w:p>
      <w:pPr>
        <w:pStyle w:val="10"/>
        <w:jc w:val="center"/>
        <w:rPr>
          <w:sz w:val="84"/>
          <w:szCs w:val="84"/>
        </w:rPr>
      </w:pPr>
      <w:r>
        <w:rPr>
          <w:rFonts w:hint="eastAsia"/>
          <w:sz w:val="84"/>
          <w:szCs w:val="84"/>
        </w:rPr>
        <w:t>湖南省林业科学院概况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ind w:left="720" w:firstLine="0" w:firstLineChars="0"/>
        <w:jc w:val="left"/>
        <w:rPr>
          <w:rFonts w:ascii="黑体" w:hAnsi="黑体" w:eastAsia="黑体"/>
          <w:sz w:val="32"/>
          <w:szCs w:val="32"/>
        </w:rPr>
      </w:pPr>
    </w:p>
    <w:p>
      <w:pPr>
        <w:pStyle w:val="11"/>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640" w:firstLineChars="200"/>
        <w:jc w:val="left"/>
        <w:rPr>
          <w:rFonts w:asciiTheme="minorEastAsia" w:hAnsiTheme="minorEastAsia"/>
          <w:sz w:val="32"/>
          <w:szCs w:val="32"/>
        </w:rPr>
      </w:pPr>
      <w:r>
        <w:rPr>
          <w:rFonts w:hint="eastAsia" w:asciiTheme="minorEastAsia" w:hAnsiTheme="minorEastAsia"/>
          <w:bCs/>
          <w:kern w:val="0"/>
          <w:sz w:val="32"/>
          <w:szCs w:val="32"/>
        </w:rPr>
        <w:t>湖南省林业科学院</w:t>
      </w:r>
      <w:r>
        <w:rPr>
          <w:rFonts w:hint="eastAsia" w:ascii="宋体" w:hAnsi="宋体"/>
          <w:sz w:val="32"/>
          <w:szCs w:val="32"/>
        </w:rPr>
        <w:t>是</w:t>
      </w:r>
      <w:r>
        <w:rPr>
          <w:rFonts w:ascii="宋体" w:hAnsi="宋体"/>
          <w:sz w:val="32"/>
          <w:szCs w:val="32"/>
        </w:rPr>
        <w:t>省科技厅二级部门预算拨款单位，行政隶属省林业</w:t>
      </w:r>
      <w:r>
        <w:rPr>
          <w:rFonts w:hint="eastAsia" w:ascii="宋体" w:hAnsi="宋体"/>
          <w:sz w:val="32"/>
          <w:szCs w:val="32"/>
        </w:rPr>
        <w:t>局</w:t>
      </w:r>
      <w:r>
        <w:rPr>
          <w:rFonts w:ascii="宋体" w:hAnsi="宋体"/>
          <w:sz w:val="32"/>
          <w:szCs w:val="32"/>
        </w:rPr>
        <w:t>，是我省专门从事林业与生态领域科学研究和技术推广的</w:t>
      </w:r>
      <w:r>
        <w:rPr>
          <w:rFonts w:hint="eastAsia" w:ascii="宋体" w:hAnsi="宋体"/>
          <w:sz w:val="32"/>
          <w:szCs w:val="32"/>
        </w:rPr>
        <w:t>科研</w:t>
      </w:r>
      <w:r>
        <w:rPr>
          <w:rFonts w:ascii="宋体" w:hAnsi="宋体"/>
          <w:sz w:val="32"/>
          <w:szCs w:val="32"/>
        </w:rPr>
        <w:t>事业单位</w:t>
      </w:r>
      <w:r>
        <w:rPr>
          <w:rFonts w:hint="eastAsia" w:ascii="宋体" w:hAnsi="宋体"/>
          <w:sz w:val="32"/>
          <w:szCs w:val="32"/>
        </w:rPr>
        <w:t>，研究领域包括用材林、经济林、森林生态、森林保护、林产工业、生物质能、环境工程、自然资源与保护地等。2021年4月经中共湖南省委编制委员会批复为公益一类事业单位，湖南省林产品质量检验检测中心并入省林科院</w:t>
      </w:r>
      <w:r>
        <w:rPr>
          <w:rFonts w:hint="eastAsia" w:asciiTheme="minorEastAsia" w:hAnsiTheme="minorEastAsia"/>
          <w:bCs/>
          <w:kern w:val="0"/>
          <w:sz w:val="32"/>
          <w:szCs w:val="32"/>
        </w:rPr>
        <w:t>。</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（一）内设机构设置。</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 xml:space="preserve">  湖南省林业科学院共设16个部门，分别是：综合部、人事部 、科研管理部、财务部、自然保护地研究所、生物多样性研究所、林草培育研究所、林草保护研究所、竹木研究所、生物环境工程研究所、油茶研究所、经济林研究所、林业科技信息研究所、科创中心、测试中心、科技成果转化中心。</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（二）决算单位构成。</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 xml:space="preserve">  湖南省林业科学院</w:t>
      </w:r>
      <w:r>
        <w:rPr>
          <w:rFonts w:asciiTheme="minorEastAsia" w:hAnsiTheme="minorEastAsia"/>
          <w:bCs/>
          <w:kern w:val="0"/>
          <w:sz w:val="32"/>
          <w:szCs w:val="32"/>
        </w:rPr>
        <w:t>20</w:t>
      </w:r>
      <w:r>
        <w:rPr>
          <w:rFonts w:hint="eastAsia" w:asciiTheme="minorEastAsia" w:hAnsiTheme="minorEastAsia"/>
          <w:bCs/>
          <w:kern w:val="0"/>
          <w:sz w:val="32"/>
          <w:szCs w:val="32"/>
        </w:rPr>
        <w:t>21年度部门决算公开单位构成只包括湖南省林业科学院</w:t>
      </w:r>
      <w:r>
        <w:rPr>
          <w:rFonts w:hint="eastAsia" w:asciiTheme="minorEastAsia" w:hAnsiTheme="minorEastAsia"/>
          <w:bCs/>
          <w:kern w:val="0"/>
          <w:sz w:val="32"/>
          <w:szCs w:val="32"/>
          <w:lang w:eastAsia="zh-CN"/>
        </w:rPr>
        <w:t>，</w:t>
      </w:r>
      <w:r>
        <w:rPr>
          <w:rFonts w:hint="eastAsia" w:asciiTheme="minorEastAsia" w:hAnsiTheme="minorEastAsia"/>
          <w:bCs/>
          <w:kern w:val="0"/>
          <w:sz w:val="32"/>
          <w:szCs w:val="32"/>
          <w:lang w:val="en-US" w:eastAsia="zh-CN"/>
        </w:rPr>
        <w:t>无下属单位</w:t>
      </w:r>
      <w:r>
        <w:rPr>
          <w:rFonts w:hint="eastAsia" w:asciiTheme="minorEastAsia" w:hAnsiTheme="minorEastAsia"/>
          <w:bCs/>
          <w:kern w:val="0"/>
          <w:sz w:val="32"/>
          <w:szCs w:val="32"/>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6"/>
        <w:tblW w:w="15543" w:type="dxa"/>
        <w:tblInd w:w="89" w:type="dxa"/>
        <w:tblLayout w:type="autofit"/>
        <w:tblCellMar>
          <w:top w:w="0" w:type="dxa"/>
          <w:left w:w="108" w:type="dxa"/>
          <w:bottom w:w="0" w:type="dxa"/>
          <w:right w:w="108" w:type="dxa"/>
        </w:tblCellMar>
      </w:tblPr>
      <w:tblGrid>
        <w:gridCol w:w="4130"/>
        <w:gridCol w:w="851"/>
        <w:gridCol w:w="329"/>
        <w:gridCol w:w="1797"/>
        <w:gridCol w:w="236"/>
        <w:gridCol w:w="3308"/>
        <w:gridCol w:w="992"/>
        <w:gridCol w:w="1771"/>
        <w:gridCol w:w="497"/>
        <w:gridCol w:w="148"/>
        <w:gridCol w:w="1088"/>
        <w:gridCol w:w="396"/>
      </w:tblGrid>
      <w:tr>
        <w:tblPrEx>
          <w:tblCellMar>
            <w:top w:w="0" w:type="dxa"/>
            <w:left w:w="108" w:type="dxa"/>
            <w:bottom w:w="0" w:type="dxa"/>
            <w:right w:w="108" w:type="dxa"/>
          </w:tblCellMar>
        </w:tblPrEx>
        <w:trPr>
          <w:gridAfter w:val="1"/>
          <w:wAfter w:w="396" w:type="dxa"/>
          <w:trHeight w:val="715" w:hRule="atLeast"/>
        </w:trPr>
        <w:tc>
          <w:tcPr>
            <w:tcW w:w="15147"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tblPrEx>
          <w:tblCellMar>
            <w:top w:w="0" w:type="dxa"/>
            <w:left w:w="108" w:type="dxa"/>
            <w:bottom w:w="0" w:type="dxa"/>
            <w:right w:w="108" w:type="dxa"/>
          </w:tblCellMar>
        </w:tblPrEx>
        <w:trPr>
          <w:trHeight w:val="199" w:hRule="atLeast"/>
        </w:trPr>
        <w:tc>
          <w:tcPr>
            <w:tcW w:w="5310"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9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071" w:type="dxa"/>
            <w:gridSpan w:val="3"/>
            <w:tcBorders>
              <w:top w:val="nil"/>
              <w:left w:val="nil"/>
              <w:bottom w:val="nil"/>
              <w:right w:val="nil"/>
            </w:tcBorders>
            <w:shd w:val="clear" w:color="000000" w:fill="FFFFFF"/>
            <w:noWrap/>
            <w:vAlign w:val="center"/>
          </w:tcPr>
          <w:p>
            <w:pPr>
              <w:widowControl/>
              <w:ind w:right="400" w:firstLine="4600" w:firstLineChars="2300"/>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c>
          <w:tcPr>
            <w:tcW w:w="645"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84" w:type="dxa"/>
            <w:gridSpan w:val="2"/>
            <w:tcBorders>
              <w:top w:val="nil"/>
              <w:left w:val="nil"/>
              <w:bottom w:val="nil"/>
              <w:right w:val="nil"/>
            </w:tcBorders>
            <w:shd w:val="clear" w:color="000000" w:fill="FFFFFF"/>
            <w:noWrap/>
            <w:vAlign w:val="center"/>
          </w:tcPr>
          <w:p>
            <w:pPr>
              <w:widowControl/>
              <w:ind w:right="400"/>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300" w:hRule="atLeast"/>
        </w:trPr>
        <w:tc>
          <w:tcPr>
            <w:tcW w:w="5310"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部门：湖南省林业科学院</w:t>
            </w:r>
          </w:p>
        </w:tc>
        <w:tc>
          <w:tcPr>
            <w:tcW w:w="179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071" w:type="dxa"/>
            <w:gridSpan w:val="3"/>
            <w:tcBorders>
              <w:top w:val="nil"/>
              <w:left w:val="nil"/>
              <w:bottom w:val="nil"/>
              <w:right w:val="nil"/>
            </w:tcBorders>
            <w:shd w:val="clear" w:color="000000" w:fill="FFFFFF"/>
            <w:noWrap/>
            <w:vAlign w:val="center"/>
          </w:tcPr>
          <w:p>
            <w:pPr>
              <w:widowControl/>
              <w:ind w:right="500"/>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单位：元</w:t>
            </w:r>
          </w:p>
        </w:tc>
        <w:tc>
          <w:tcPr>
            <w:tcW w:w="645"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84" w:type="dxa"/>
            <w:gridSpan w:val="2"/>
            <w:tcBorders>
              <w:top w:val="nil"/>
              <w:left w:val="nil"/>
              <w:bottom w:val="nil"/>
              <w:right w:val="nil"/>
            </w:tcBorders>
            <w:shd w:val="clear" w:color="000000" w:fill="FFFFFF"/>
            <w:noWrap/>
            <w:vAlign w:val="center"/>
          </w:tcPr>
          <w:p>
            <w:pPr>
              <w:widowControl/>
              <w:ind w:right="400"/>
              <w:jc w:val="right"/>
              <w:rPr>
                <w:rFonts w:ascii="宋体" w:hAnsi="宋体" w:eastAsia="宋体" w:cs="宋体"/>
                <w:color w:val="000000"/>
                <w:kern w:val="0"/>
                <w:sz w:val="20"/>
                <w:szCs w:val="20"/>
              </w:rPr>
            </w:pPr>
          </w:p>
        </w:tc>
      </w:tr>
      <w:tr>
        <w:tblPrEx>
          <w:tblCellMar>
            <w:top w:w="0" w:type="dxa"/>
            <w:left w:w="108" w:type="dxa"/>
            <w:bottom w:w="0" w:type="dxa"/>
            <w:right w:w="108" w:type="dxa"/>
          </w:tblCellMar>
        </w:tblPrEx>
        <w:trPr>
          <w:gridAfter w:val="3"/>
          <w:wAfter w:w="1632" w:type="dxa"/>
          <w:trHeight w:val="300" w:hRule="atLeast"/>
        </w:trPr>
        <w:tc>
          <w:tcPr>
            <w:tcW w:w="710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Arial"/>
                <w:sz w:val="20"/>
                <w:szCs w:val="20"/>
              </w:rPr>
            </w:pPr>
            <w:r>
              <w:rPr>
                <w:rFonts w:hint="eastAsia" w:cs="Arial"/>
                <w:sz w:val="20"/>
                <w:szCs w:val="20"/>
              </w:rPr>
              <w:t>收入</w:t>
            </w:r>
          </w:p>
        </w:tc>
        <w:tc>
          <w:tcPr>
            <w:tcW w:w="6804" w:type="dxa"/>
            <w:gridSpan w:val="5"/>
            <w:tcBorders>
              <w:top w:val="single" w:color="000000" w:sz="4" w:space="0"/>
              <w:left w:val="nil"/>
              <w:bottom w:val="single" w:color="000000" w:sz="4" w:space="0"/>
              <w:right w:val="single" w:color="000000" w:sz="4" w:space="0"/>
            </w:tcBorders>
            <w:shd w:val="clear" w:color="auto" w:fill="auto"/>
            <w:noWrap/>
            <w:vAlign w:val="center"/>
          </w:tcPr>
          <w:p>
            <w:pPr>
              <w:jc w:val="center"/>
              <w:rPr>
                <w:rFonts w:ascii="宋体" w:hAnsi="宋体" w:eastAsia="宋体" w:cs="Arial"/>
                <w:sz w:val="20"/>
                <w:szCs w:val="20"/>
              </w:rPr>
            </w:pPr>
            <w:r>
              <w:rPr>
                <w:rFonts w:hint="eastAsia" w:cs="Arial"/>
                <w:sz w:val="20"/>
                <w:szCs w:val="20"/>
              </w:rPr>
              <w:t>支出</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Arial"/>
                <w:sz w:val="20"/>
                <w:szCs w:val="20"/>
              </w:rPr>
            </w:pPr>
            <w:r>
              <w:rPr>
                <w:rFonts w:hint="eastAsia" w:cs="Arial"/>
                <w:sz w:val="20"/>
                <w:szCs w:val="20"/>
              </w:rPr>
              <w:t>项目</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Arial"/>
                <w:sz w:val="20"/>
                <w:szCs w:val="20"/>
              </w:rPr>
            </w:pPr>
            <w:r>
              <w:rPr>
                <w:rFonts w:hint="eastAsia" w:cs="Arial"/>
                <w:sz w:val="20"/>
                <w:szCs w:val="20"/>
              </w:rPr>
              <w:t>行次</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Arial"/>
                <w:sz w:val="20"/>
                <w:szCs w:val="20"/>
              </w:rPr>
            </w:pPr>
            <w:r>
              <w:rPr>
                <w:rFonts w:hint="eastAsia" w:cs="Arial"/>
                <w:sz w:val="20"/>
                <w:szCs w:val="20"/>
              </w:rPr>
              <w:t>金额</w:t>
            </w:r>
          </w:p>
        </w:tc>
        <w:tc>
          <w:tcPr>
            <w:tcW w:w="3544" w:type="dxa"/>
            <w:gridSpan w:val="2"/>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Arial"/>
                <w:sz w:val="20"/>
                <w:szCs w:val="20"/>
              </w:rPr>
            </w:pPr>
            <w:r>
              <w:rPr>
                <w:rFonts w:hint="eastAsia" w:cs="Arial"/>
                <w:sz w:val="20"/>
                <w:szCs w:val="20"/>
              </w:rPr>
              <w:t>项目</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Arial"/>
                <w:sz w:val="20"/>
                <w:szCs w:val="20"/>
              </w:rPr>
            </w:pPr>
            <w:r>
              <w:rPr>
                <w:rFonts w:hint="eastAsia" w:cs="Arial"/>
                <w:sz w:val="20"/>
                <w:szCs w:val="20"/>
              </w:rPr>
              <w:t>行次</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Arial"/>
                <w:sz w:val="20"/>
                <w:szCs w:val="20"/>
              </w:rPr>
            </w:pPr>
            <w:r>
              <w:rPr>
                <w:rFonts w:hint="eastAsia" w:cs="Arial"/>
                <w:sz w:val="20"/>
                <w:szCs w:val="20"/>
              </w:rPr>
              <w:t>金额</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Arial"/>
                <w:sz w:val="20"/>
                <w:szCs w:val="20"/>
              </w:rPr>
            </w:pPr>
            <w:r>
              <w:rPr>
                <w:rFonts w:hint="eastAsia" w:cs="Arial"/>
                <w:sz w:val="20"/>
                <w:szCs w:val="20"/>
              </w:rPr>
              <w:t>栏次</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　</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1</w:t>
            </w:r>
          </w:p>
        </w:tc>
        <w:tc>
          <w:tcPr>
            <w:tcW w:w="3544"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栏次</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　</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2</w:t>
            </w:r>
          </w:p>
        </w:tc>
      </w:tr>
      <w:tr>
        <w:tblPrEx>
          <w:tblCellMar>
            <w:top w:w="0" w:type="dxa"/>
            <w:left w:w="108" w:type="dxa"/>
            <w:bottom w:w="0" w:type="dxa"/>
            <w:right w:w="108" w:type="dxa"/>
          </w:tblCellMar>
        </w:tblPrEx>
        <w:trPr>
          <w:gridAfter w:val="3"/>
          <w:wAfter w:w="1632" w:type="dxa"/>
          <w:trHeight w:val="9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一、一般公共预算财政拨款收入</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1</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92,537,500.00</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一、一般公共服务支出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32</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77,894.90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二、政府性基金预算财政拨款收入</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2</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二、外交支出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33</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三、国有资本经营预算财政拨款收入</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3</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三、国防支出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34</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四、上级补助收入</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4</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四、公共安全支出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35</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五、事业收入</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5</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24,910,155.70</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五、教育支出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36</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六、经营收入</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6</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六、科学技术支出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37</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64,519,971.67</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七、附属单位上缴收入</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7</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七、文化旅游体育与传媒支出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38</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八、其他收入</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8</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432,326.84</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八、社会保障和就业支出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39</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5,307,400.00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9</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九、卫生健康支出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40</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r>
      <w:tr>
        <w:tblPrEx>
          <w:tblCellMar>
            <w:top w:w="0" w:type="dxa"/>
            <w:left w:w="108" w:type="dxa"/>
            <w:bottom w:w="0" w:type="dxa"/>
            <w:right w:w="108" w:type="dxa"/>
          </w:tblCellMar>
        </w:tblPrEx>
        <w:trPr>
          <w:gridAfter w:val="3"/>
          <w:wAfter w:w="1632" w:type="dxa"/>
          <w:trHeight w:val="9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10</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十、节能环保支出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41</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50,000.00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11</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十一、城乡社区支出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42</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12</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十二、农林水支出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43</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33,397,547.39</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13</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十三、交通运输支出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44</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241,430.14</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14</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十四、资源勘探工业信息等支出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45</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15</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十五、商业服务业等支出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46</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16</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十六、金融支出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47</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17</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十七、援助其他地区支出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48</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ascii="宋体" w:hAnsi="宋体" w:eastAsia="宋体" w:cs="Arial"/>
                <w:sz w:val="20"/>
                <w:szCs w:val="20"/>
              </w:rPr>
            </w:pPr>
            <w:r>
              <w:rPr>
                <w:rFonts w:hint="eastAsia" w:cs="Arial"/>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18</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十八、自然资源海洋气象等支出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49</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ajorEastAsia" w:hAnsiTheme="majorEastAsia" w:eastAsiaTheme="majorEastAsia"/>
                <w:sz w:val="20"/>
                <w:szCs w:val="20"/>
              </w:rPr>
            </w:pPr>
            <w:r>
              <w:rPr>
                <w:rFonts w:hint="eastAsia" w:cs="Arial" w:asciiTheme="majorEastAsia" w:hAnsiTheme="majorEastAsia" w:eastAsiaTheme="maj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19</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十九、住房保障支出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50</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3,300,000.00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20</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二十、粮油物资储备支出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51</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21</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二十一、国有资本经营预算支出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52</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22</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二十二、灾害防治及应急管理支出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53</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23</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二十三、其他支出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54</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cs="Arial" w:asciiTheme="minorEastAsia" w:hAnsiTheme="minorEastAsia"/>
                <w:b/>
                <w:bCs/>
                <w:sz w:val="20"/>
                <w:szCs w:val="20"/>
              </w:rPr>
            </w:pPr>
            <w:r>
              <w:rPr>
                <w:rFonts w:hint="eastAsia" w:cs="Arial" w:asciiTheme="minorEastAsia" w:hAnsiTheme="minorEastAsia"/>
                <w:b/>
                <w:bCs/>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24</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二十四、债务还本支出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55</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25</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二十五、债务付息支出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56</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26</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二十六、抗疫特别国债安排的支出</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57</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cs="Arial" w:asciiTheme="minorEastAsia" w:hAnsiTheme="minorEastAsia"/>
                <w:b/>
                <w:bCs/>
                <w:sz w:val="20"/>
                <w:szCs w:val="20"/>
              </w:rPr>
            </w:pPr>
            <w:r>
              <w:rPr>
                <w:rFonts w:hint="eastAsia" w:cs="Arial" w:asciiTheme="minorEastAsia" w:hAnsiTheme="minorEastAsia"/>
                <w:b/>
                <w:bCs/>
                <w:sz w:val="20"/>
                <w:szCs w:val="20"/>
              </w:rPr>
              <w:t>本年收入合计</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27</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117,879,982.54</w:t>
            </w:r>
          </w:p>
        </w:tc>
        <w:tc>
          <w:tcPr>
            <w:tcW w:w="3544"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b/>
                <w:bCs/>
                <w:sz w:val="20"/>
                <w:szCs w:val="20"/>
              </w:rPr>
            </w:pPr>
            <w:r>
              <w:rPr>
                <w:rFonts w:hint="eastAsia" w:cs="Arial" w:asciiTheme="minorEastAsia" w:hAnsiTheme="minorEastAsia"/>
                <w:b/>
                <w:bCs/>
                <w:sz w:val="20"/>
                <w:szCs w:val="20"/>
              </w:rPr>
              <w:t>本年支出合计</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58</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106,894,244.10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使用非财政拨款结余</w:t>
            </w:r>
          </w:p>
        </w:tc>
        <w:tc>
          <w:tcPr>
            <w:tcW w:w="851"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28</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2,329,334.92</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结余分配</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59</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年初结转和结余</w:t>
            </w:r>
          </w:p>
        </w:tc>
        <w:tc>
          <w:tcPr>
            <w:tcW w:w="851" w:type="dxa"/>
            <w:tcBorders>
              <w:top w:val="nil"/>
              <w:left w:val="nil"/>
              <w:bottom w:val="single" w:color="auto"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29</w:t>
            </w:r>
          </w:p>
        </w:tc>
        <w:tc>
          <w:tcPr>
            <w:tcW w:w="2126"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77,498,584.57</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年末结转和结余</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60</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90,813,657.93</w:t>
            </w:r>
          </w:p>
        </w:tc>
      </w:tr>
      <w:tr>
        <w:tblPrEx>
          <w:tblCellMar>
            <w:top w:w="0" w:type="dxa"/>
            <w:left w:w="108" w:type="dxa"/>
            <w:bottom w:w="0" w:type="dxa"/>
            <w:right w:w="108" w:type="dxa"/>
          </w:tblCellMar>
        </w:tblPrEx>
        <w:trPr>
          <w:gridAfter w:val="3"/>
          <w:wAfter w:w="1632" w:type="dxa"/>
          <w:trHeight w:val="300" w:hRule="atLeast"/>
        </w:trPr>
        <w:tc>
          <w:tcPr>
            <w:tcW w:w="4130" w:type="dxa"/>
            <w:tcBorders>
              <w:top w:val="nil"/>
              <w:left w:val="single" w:color="000000" w:sz="4" w:space="0"/>
              <w:bottom w:val="single" w:color="000000" w:sz="4" w:space="0"/>
              <w:right w:val="single" w:color="auto"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30</w:t>
            </w:r>
          </w:p>
        </w:tc>
        <w:tc>
          <w:tcPr>
            <w:tcW w:w="2126" w:type="dxa"/>
            <w:gridSpan w:val="2"/>
            <w:tcBorders>
              <w:top w:val="nil"/>
              <w:left w:val="single" w:color="auto" w:sz="4" w:space="0"/>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　</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61</w:t>
            </w:r>
          </w:p>
        </w:tc>
        <w:tc>
          <w:tcPr>
            <w:tcW w:w="2268"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w:t>
            </w:r>
          </w:p>
        </w:tc>
      </w:tr>
      <w:tr>
        <w:tblPrEx>
          <w:tblCellMar>
            <w:top w:w="0" w:type="dxa"/>
            <w:left w:w="108" w:type="dxa"/>
            <w:bottom w:w="0" w:type="dxa"/>
            <w:right w:w="108" w:type="dxa"/>
          </w:tblCellMar>
        </w:tblPrEx>
        <w:trPr>
          <w:gridAfter w:val="3"/>
          <w:wAfter w:w="1632" w:type="dxa"/>
          <w:trHeight w:val="391" w:hRule="atLeast"/>
        </w:trPr>
        <w:tc>
          <w:tcPr>
            <w:tcW w:w="4130" w:type="dxa"/>
            <w:tcBorders>
              <w:top w:val="nil"/>
              <w:left w:val="single" w:color="000000" w:sz="4" w:space="0"/>
              <w:bottom w:val="single" w:color="000000" w:sz="4" w:space="0"/>
              <w:right w:val="single" w:color="auto" w:sz="4" w:space="0"/>
            </w:tcBorders>
            <w:shd w:val="clear" w:color="auto" w:fill="auto"/>
            <w:noWrap/>
            <w:vAlign w:val="center"/>
          </w:tcPr>
          <w:p>
            <w:pPr>
              <w:jc w:val="center"/>
              <w:rPr>
                <w:rFonts w:cs="Arial" w:asciiTheme="minorEastAsia" w:hAnsiTheme="minorEastAsia"/>
                <w:b/>
                <w:bCs/>
                <w:sz w:val="20"/>
                <w:szCs w:val="20"/>
              </w:rPr>
            </w:pPr>
            <w:r>
              <w:rPr>
                <w:rFonts w:hint="eastAsia" w:cs="Arial" w:asciiTheme="minorEastAsia" w:hAnsiTheme="minorEastAsia"/>
                <w:b/>
                <w:bCs/>
                <w:sz w:val="20"/>
                <w:szCs w:val="20"/>
              </w:rPr>
              <w:t>总　　　计</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31</w:t>
            </w:r>
          </w:p>
        </w:tc>
        <w:tc>
          <w:tcPr>
            <w:tcW w:w="2126" w:type="dxa"/>
            <w:gridSpan w:val="2"/>
            <w:tcBorders>
              <w:top w:val="nil"/>
              <w:left w:val="single" w:color="auto" w:sz="4" w:space="0"/>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197,707,902.03</w:t>
            </w:r>
          </w:p>
        </w:tc>
        <w:tc>
          <w:tcPr>
            <w:tcW w:w="3544" w:type="dxa"/>
            <w:gridSpan w:val="2"/>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b/>
                <w:bCs/>
                <w:sz w:val="20"/>
                <w:szCs w:val="20"/>
              </w:rPr>
            </w:pPr>
            <w:r>
              <w:rPr>
                <w:rFonts w:hint="eastAsia" w:cs="Arial" w:asciiTheme="minorEastAsia" w:hAnsiTheme="minorEastAsia"/>
                <w:b/>
                <w:bCs/>
                <w:sz w:val="20"/>
                <w:szCs w:val="20"/>
              </w:rPr>
              <w:t>总　　　计</w:t>
            </w:r>
          </w:p>
        </w:tc>
        <w:tc>
          <w:tcPr>
            <w:tcW w:w="992" w:type="dxa"/>
            <w:tcBorders>
              <w:top w:val="nil"/>
              <w:left w:val="nil"/>
              <w:bottom w:val="single" w:color="000000" w:sz="4" w:space="0"/>
              <w:right w:val="single" w:color="000000" w:sz="4" w:space="0"/>
            </w:tcBorders>
            <w:shd w:val="clear" w:color="auto" w:fill="auto"/>
            <w:noWrap/>
            <w:vAlign w:val="center"/>
          </w:tcPr>
          <w:p>
            <w:pPr>
              <w:jc w:val="center"/>
              <w:rPr>
                <w:rFonts w:cs="Arial" w:asciiTheme="minorEastAsia" w:hAnsiTheme="minorEastAsia"/>
                <w:sz w:val="20"/>
                <w:szCs w:val="20"/>
              </w:rPr>
            </w:pPr>
            <w:r>
              <w:rPr>
                <w:rFonts w:hint="eastAsia" w:cs="Arial" w:asciiTheme="minorEastAsia" w:hAnsiTheme="minorEastAsia"/>
                <w:sz w:val="20"/>
                <w:szCs w:val="20"/>
              </w:rPr>
              <w:t>62</w:t>
            </w:r>
          </w:p>
        </w:tc>
        <w:tc>
          <w:tcPr>
            <w:tcW w:w="2268"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197,707,902.03</w:t>
            </w:r>
          </w:p>
        </w:tc>
      </w:tr>
      <w:tr>
        <w:tblPrEx>
          <w:tblCellMar>
            <w:top w:w="0" w:type="dxa"/>
            <w:left w:w="108" w:type="dxa"/>
            <w:bottom w:w="0" w:type="dxa"/>
            <w:right w:w="108" w:type="dxa"/>
          </w:tblCellMar>
        </w:tblPrEx>
        <w:trPr>
          <w:gridAfter w:val="1"/>
          <w:wAfter w:w="396" w:type="dxa"/>
          <w:trHeight w:val="1020" w:hRule="atLeast"/>
        </w:trPr>
        <w:tc>
          <w:tcPr>
            <w:tcW w:w="15147" w:type="dxa"/>
            <w:gridSpan w:val="11"/>
            <w:tcBorders>
              <w:top w:val="nil"/>
              <w:left w:val="nil"/>
              <w:bottom w:val="nil"/>
              <w:right w:val="nil"/>
            </w:tcBorders>
            <w:shd w:val="clear" w:color="auto" w:fill="auto"/>
            <w:vAlign w:val="center"/>
          </w:tcPr>
          <w:p>
            <w:pPr>
              <w:widowControl/>
              <w:jc w:val="left"/>
              <w:rPr>
                <w:rFonts w:hint="eastAsia" w:ascii="宋体" w:hAnsi="宋体" w:eastAsia="宋体" w:cs="宋体"/>
                <w:kern w:val="0"/>
                <w:szCs w:val="21"/>
                <w:lang w:eastAsia="zh-CN"/>
              </w:rPr>
            </w:pPr>
            <w:r>
              <w:rPr>
                <w:rFonts w:hint="eastAsia" w:ascii="宋体" w:hAnsi="宋体" w:eastAsia="宋体" w:cs="宋体"/>
                <w:kern w:val="0"/>
                <w:szCs w:val="21"/>
              </w:rPr>
              <w:t>注：1.本表反映部门本年度的总收支和年末结转结余情况。</w:t>
            </w:r>
          </w:p>
          <w:p>
            <w:pPr>
              <w:widowControl/>
              <w:jc w:val="left"/>
              <w:rPr>
                <w:rFonts w:ascii="宋体" w:hAnsi="宋体" w:eastAsia="宋体" w:cs="宋体"/>
                <w:kern w:val="0"/>
                <w:szCs w:val="21"/>
              </w:rPr>
            </w:pPr>
            <w:r>
              <w:rPr>
                <w:rFonts w:hint="eastAsia" w:ascii="宋体" w:hAnsi="宋体" w:eastAsia="宋体" w:cs="宋体"/>
                <w:kern w:val="0"/>
                <w:szCs w:val="21"/>
              </w:rPr>
              <w:t xml:space="preserve">    2.本套报表金额单位转换时可能存在尾数误差。</w:t>
            </w:r>
          </w:p>
        </w:tc>
      </w:tr>
    </w:tbl>
    <w:p>
      <w:pPr>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tbl>
      <w:tblPr>
        <w:tblStyle w:val="6"/>
        <w:tblW w:w="15342" w:type="dxa"/>
        <w:tblInd w:w="0" w:type="dxa"/>
        <w:tblLayout w:type="fixed"/>
        <w:tblCellMar>
          <w:top w:w="0" w:type="dxa"/>
          <w:left w:w="0" w:type="dxa"/>
          <w:bottom w:w="0" w:type="dxa"/>
          <w:right w:w="0" w:type="dxa"/>
        </w:tblCellMar>
      </w:tblPr>
      <w:tblGrid>
        <w:gridCol w:w="1858"/>
        <w:gridCol w:w="1966"/>
        <w:gridCol w:w="1578"/>
        <w:gridCol w:w="1843"/>
        <w:gridCol w:w="1559"/>
        <w:gridCol w:w="1134"/>
        <w:gridCol w:w="1588"/>
        <w:gridCol w:w="1098"/>
        <w:gridCol w:w="632"/>
        <w:gridCol w:w="632"/>
        <w:gridCol w:w="1454"/>
      </w:tblGrid>
      <w:tr>
        <w:tblPrEx>
          <w:tblCellMar>
            <w:top w:w="0" w:type="dxa"/>
            <w:left w:w="0" w:type="dxa"/>
            <w:bottom w:w="0" w:type="dxa"/>
            <w:right w:w="0" w:type="dxa"/>
          </w:tblCellMar>
        </w:tblPrEx>
        <w:trPr>
          <w:trHeight w:val="435" w:hRule="atLeast"/>
        </w:trPr>
        <w:tc>
          <w:tcPr>
            <w:tcW w:w="15342" w:type="dxa"/>
            <w:gridSpan w:val="11"/>
            <w:tcBorders>
              <w:top w:val="nil"/>
              <w:left w:val="nil"/>
              <w:bottom w:val="nil"/>
              <w:right w:val="nil"/>
            </w:tcBorders>
            <w:shd w:val="clear" w:color="auto" w:fill="auto"/>
            <w:noWrap/>
            <w:tcMar>
              <w:top w:w="15" w:type="dxa"/>
              <w:left w:w="15" w:type="dxa"/>
              <w:bottom w:w="0" w:type="dxa"/>
              <w:right w:w="15" w:type="dxa"/>
            </w:tcMar>
            <w:vAlign w:val="center"/>
          </w:tcPr>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CellMar>
            <w:top w:w="0" w:type="dxa"/>
            <w:left w:w="0" w:type="dxa"/>
            <w:bottom w:w="0" w:type="dxa"/>
            <w:right w:w="0" w:type="dxa"/>
          </w:tblCellMar>
        </w:tblPrEx>
        <w:trPr>
          <w:trHeight w:val="339" w:hRule="atLeast"/>
        </w:trPr>
        <w:tc>
          <w:tcPr>
            <w:tcW w:w="3824"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432" w:type="dxa"/>
            <w:gridSpan w:val="7"/>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xml:space="preserve"> 　</w:t>
            </w:r>
          </w:p>
        </w:tc>
        <w:tc>
          <w:tcPr>
            <w:tcW w:w="2086"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ind w:right="400" w:firstLine="200" w:firstLineChars="100"/>
              <w:rPr>
                <w:rFonts w:ascii="宋体" w:hAnsi="宋体" w:eastAsia="宋体" w:cs="宋体"/>
                <w:color w:val="000000"/>
                <w:sz w:val="20"/>
                <w:szCs w:val="20"/>
              </w:rPr>
            </w:pPr>
            <w:r>
              <w:rPr>
                <w:rFonts w:hint="eastAsia"/>
                <w:color w:val="000000"/>
                <w:sz w:val="20"/>
                <w:szCs w:val="20"/>
              </w:rPr>
              <w:t>公开02表</w:t>
            </w:r>
          </w:p>
        </w:tc>
      </w:tr>
      <w:tr>
        <w:tblPrEx>
          <w:tblCellMar>
            <w:top w:w="0" w:type="dxa"/>
            <w:left w:w="0" w:type="dxa"/>
            <w:bottom w:w="0" w:type="dxa"/>
            <w:right w:w="0" w:type="dxa"/>
          </w:tblCellMar>
        </w:tblPrEx>
        <w:trPr>
          <w:trHeight w:val="133" w:hRule="atLeast"/>
        </w:trPr>
        <w:tc>
          <w:tcPr>
            <w:tcW w:w="13256" w:type="dxa"/>
            <w:gridSpan w:val="9"/>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w:t>
            </w:r>
            <w:r>
              <w:rPr>
                <w:rFonts w:hint="eastAsia" w:ascii="宋体" w:hAnsi="宋体" w:eastAsia="宋体" w:cs="宋体"/>
                <w:color w:val="000000"/>
                <w:kern w:val="0"/>
                <w:sz w:val="20"/>
                <w:szCs w:val="20"/>
              </w:rPr>
              <w:t>湖南省林业科学院</w:t>
            </w:r>
          </w:p>
        </w:tc>
        <w:tc>
          <w:tcPr>
            <w:tcW w:w="2086"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ind w:firstLine="200" w:firstLineChars="100"/>
              <w:rPr>
                <w:rFonts w:ascii="宋体" w:hAnsi="宋体" w:eastAsia="宋体" w:cs="宋体"/>
                <w:color w:val="000000"/>
                <w:sz w:val="20"/>
                <w:szCs w:val="20"/>
              </w:rPr>
            </w:pPr>
            <w:r>
              <w:rPr>
                <w:rFonts w:hint="eastAsia" w:ascii="宋体" w:hAnsi="宋体" w:eastAsia="宋体" w:cs="宋体"/>
                <w:color w:val="000000"/>
                <w:sz w:val="20"/>
                <w:szCs w:val="20"/>
              </w:rPr>
              <w:t>单位：元</w:t>
            </w:r>
          </w:p>
        </w:tc>
      </w:tr>
      <w:tr>
        <w:tblPrEx>
          <w:tblCellMar>
            <w:top w:w="0" w:type="dxa"/>
            <w:left w:w="108" w:type="dxa"/>
            <w:bottom w:w="0" w:type="dxa"/>
            <w:right w:w="108" w:type="dxa"/>
          </w:tblCellMar>
        </w:tblPrEx>
        <w:trPr>
          <w:trHeight w:val="442" w:hRule="atLeast"/>
        </w:trPr>
        <w:tc>
          <w:tcPr>
            <w:tcW w:w="540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w:t>
            </w:r>
          </w:p>
        </w:tc>
        <w:tc>
          <w:tcPr>
            <w:tcW w:w="1843" w:type="dxa"/>
            <w:vMerge w:val="restart"/>
            <w:tcBorders>
              <w:top w:val="single" w:color="000000" w:sz="4" w:space="0"/>
              <w:left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ascii="宋体" w:hAnsi="宋体" w:eastAsia="宋体" w:cs="宋体"/>
                <w:color w:val="000000"/>
                <w:kern w:val="0"/>
                <w:sz w:val="20"/>
                <w:szCs w:val="20"/>
              </w:rPr>
              <w:t>本年收入合计</w:t>
            </w:r>
          </w:p>
        </w:tc>
        <w:tc>
          <w:tcPr>
            <w:tcW w:w="1559" w:type="dxa"/>
            <w:vMerge w:val="restart"/>
            <w:tcBorders>
              <w:top w:val="single" w:color="000000" w:sz="4" w:space="0"/>
              <w:left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财政拨款收入</w:t>
            </w:r>
          </w:p>
        </w:tc>
        <w:tc>
          <w:tcPr>
            <w:tcW w:w="1134" w:type="dxa"/>
            <w:vMerge w:val="restart"/>
            <w:tcBorders>
              <w:top w:val="single" w:color="000000" w:sz="4" w:space="0"/>
              <w:left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上级补助收入</w:t>
            </w:r>
          </w:p>
        </w:tc>
        <w:tc>
          <w:tcPr>
            <w:tcW w:w="1588" w:type="dxa"/>
            <w:vMerge w:val="restart"/>
            <w:tcBorders>
              <w:top w:val="single" w:color="000000" w:sz="4" w:space="0"/>
              <w:left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事业收入</w:t>
            </w:r>
          </w:p>
        </w:tc>
        <w:tc>
          <w:tcPr>
            <w:tcW w:w="1098" w:type="dxa"/>
            <w:vMerge w:val="restart"/>
            <w:tcBorders>
              <w:top w:val="single" w:color="000000" w:sz="4" w:space="0"/>
              <w:left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经营收入</w:t>
            </w:r>
          </w:p>
        </w:tc>
        <w:tc>
          <w:tcPr>
            <w:tcW w:w="1264" w:type="dxa"/>
            <w:gridSpan w:val="2"/>
            <w:vMerge w:val="restart"/>
            <w:tcBorders>
              <w:top w:val="single" w:color="000000" w:sz="4" w:space="0"/>
              <w:left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附属单位上缴收入</w:t>
            </w:r>
          </w:p>
        </w:tc>
        <w:tc>
          <w:tcPr>
            <w:tcW w:w="1454" w:type="dxa"/>
            <w:vMerge w:val="restart"/>
            <w:tcBorders>
              <w:top w:val="single" w:color="000000" w:sz="4" w:space="0"/>
              <w:left w:val="nil"/>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其他收入</w:t>
            </w:r>
          </w:p>
        </w:tc>
      </w:tr>
      <w:tr>
        <w:tblPrEx>
          <w:tblCellMar>
            <w:top w:w="0" w:type="dxa"/>
            <w:left w:w="108" w:type="dxa"/>
            <w:bottom w:w="0" w:type="dxa"/>
            <w:right w:w="108" w:type="dxa"/>
          </w:tblCellMar>
        </w:tblPrEx>
        <w:trPr>
          <w:trHeight w:val="278" w:hRule="atLeast"/>
        </w:trPr>
        <w:tc>
          <w:tcPr>
            <w:tcW w:w="1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功能分类科目编码</w:t>
            </w:r>
          </w:p>
        </w:tc>
        <w:tc>
          <w:tcPr>
            <w:tcW w:w="3544" w:type="dxa"/>
            <w:gridSpan w:val="2"/>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科目名称</w:t>
            </w:r>
          </w:p>
        </w:tc>
        <w:tc>
          <w:tcPr>
            <w:tcW w:w="1843" w:type="dxa"/>
            <w:vMerge w:val="continue"/>
            <w:tcBorders>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p>
        </w:tc>
        <w:tc>
          <w:tcPr>
            <w:tcW w:w="1559" w:type="dxa"/>
            <w:vMerge w:val="continue"/>
            <w:tcBorders>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p>
        </w:tc>
        <w:tc>
          <w:tcPr>
            <w:tcW w:w="1134" w:type="dxa"/>
            <w:vMerge w:val="continue"/>
            <w:tcBorders>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p>
        </w:tc>
        <w:tc>
          <w:tcPr>
            <w:tcW w:w="1588" w:type="dxa"/>
            <w:vMerge w:val="continue"/>
            <w:tcBorders>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p>
        </w:tc>
        <w:tc>
          <w:tcPr>
            <w:tcW w:w="1098" w:type="dxa"/>
            <w:vMerge w:val="continue"/>
            <w:tcBorders>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p>
        </w:tc>
        <w:tc>
          <w:tcPr>
            <w:tcW w:w="1264" w:type="dxa"/>
            <w:gridSpan w:val="2"/>
            <w:vMerge w:val="continue"/>
            <w:tcBorders>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p>
        </w:tc>
        <w:tc>
          <w:tcPr>
            <w:tcW w:w="1454" w:type="dxa"/>
            <w:vMerge w:val="continue"/>
            <w:tcBorders>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300" w:hRule="atLeast"/>
        </w:trPr>
        <w:tc>
          <w:tcPr>
            <w:tcW w:w="540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栏次</w:t>
            </w:r>
          </w:p>
        </w:tc>
        <w:tc>
          <w:tcPr>
            <w:tcW w:w="18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1559"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113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158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1098"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1264" w:type="dxa"/>
            <w:gridSpan w:val="2"/>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1454" w:type="dxa"/>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r>
      <w:tr>
        <w:tblPrEx>
          <w:tblCellMar>
            <w:top w:w="0" w:type="dxa"/>
            <w:left w:w="108" w:type="dxa"/>
            <w:bottom w:w="0" w:type="dxa"/>
            <w:right w:w="108" w:type="dxa"/>
          </w:tblCellMar>
        </w:tblPrEx>
        <w:trPr>
          <w:trHeight w:val="300" w:hRule="atLeast"/>
        </w:trPr>
        <w:tc>
          <w:tcPr>
            <w:tcW w:w="540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cs="宋体" w:asciiTheme="minorEastAsia" w:hAnsiTheme="minorEastAsia"/>
                <w:color w:val="000000"/>
                <w:sz w:val="20"/>
                <w:szCs w:val="20"/>
              </w:rPr>
            </w:pPr>
            <w:r>
              <w:rPr>
                <w:rFonts w:hint="eastAsia" w:cs="宋体" w:asciiTheme="minorEastAsia" w:hAnsiTheme="minorEastAsia"/>
                <w:color w:val="000000"/>
                <w:kern w:val="0"/>
                <w:sz w:val="20"/>
                <w:szCs w:val="20"/>
              </w:rPr>
              <w:t>合计</w:t>
            </w:r>
          </w:p>
        </w:tc>
        <w:tc>
          <w:tcPr>
            <w:tcW w:w="1843" w:type="dxa"/>
            <w:tcBorders>
              <w:top w:val="single" w:color="000000" w:sz="4" w:space="0"/>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117,879,982.54</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92,537,500.00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24,910,155.70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432,326.84</w:t>
            </w:r>
          </w:p>
        </w:tc>
      </w:tr>
      <w:tr>
        <w:tblPrEx>
          <w:tblCellMar>
            <w:top w:w="0" w:type="dxa"/>
            <w:left w:w="108" w:type="dxa"/>
            <w:bottom w:w="0" w:type="dxa"/>
            <w:right w:w="108" w:type="dxa"/>
          </w:tblCellMar>
        </w:tblPrEx>
        <w:trPr>
          <w:trHeight w:val="297" w:hRule="atLeast"/>
        </w:trPr>
        <w:tc>
          <w:tcPr>
            <w:tcW w:w="18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201</w:t>
            </w:r>
          </w:p>
        </w:tc>
        <w:tc>
          <w:tcPr>
            <w:tcW w:w="3544" w:type="dxa"/>
            <w:gridSpan w:val="2"/>
            <w:tcBorders>
              <w:top w:val="single" w:color="000000" w:sz="4" w:space="0"/>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一般公共服务支出</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60,000.00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60,000.00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20138</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市场监督管理事务</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60,000.00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60,000.00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2013810</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质量基础</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60,000.00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60,000.00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206</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科学技术支出</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63,717,482.54</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38,375,000.00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24,910,155.70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432,326.84</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20602</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基础研究</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3,135,500.00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3,135,500.00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2060203</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自然科学基金</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150,000.00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150,000.00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2060204</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实验室及相关设施</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2,985,500.00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2,985,500.00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20603</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应用研究</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59,111,982.54</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33,769,500.00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24,910,155.70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432,326.84</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2060301</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机构运行</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29,201,826.84</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28,769,500.00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432,326.84</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2060302</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社会公益研究</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29,910,155.70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5,000,000.00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24,910,155.70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20605</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科技条件与服务</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720,000.00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720,000.00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2060503</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科技条件专项</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2060599</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其他科技条件与服务支出</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700,000.00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700,000.00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20607</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科学技术普及</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2060704</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学术交流活动</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20609</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科技重大项目</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2060902</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重点研发计划</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500,000.00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500,000.00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20699</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其他科学技术支出</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2069901</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科技奖励</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50,000.00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50,000.00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208</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社会保障和就业支出</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5,382,400.00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5,382,400.00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20801</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人力资源和社会保障管理事务</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75,000.00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75,000.00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2080115</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博士后日常经费</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75,000.00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75,000.00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20805</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行政事业单位养老支出</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5,307,400.00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5,307,400.00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2080502</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事业单位离退休</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7,400.00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7,400.00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2080505</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机关事业单位基本养老保险缴费支出</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3,500,000.00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3,500,000.00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2080506</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机关事业单位职业年金缴费支出</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1,800,000.00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1,800,000.00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211</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节能环保支出</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21105</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天然林保护</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2110507</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停伐补助</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213</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农林水支出</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44,920,100.00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44,920,100.00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21301</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农业农村</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2,670,000.00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2,670,000.00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2130105</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农垦运行</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1,380,000.00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1,380,000.00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2130108</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病虫害控制</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850,000.00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850,000.00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2130122</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农业生产发展</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440,000.00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440,000.00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21302</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林业和草原</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33,580,100.00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33,580,100.00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2130205</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森林资源培育</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420,000.00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420,000.00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2130206</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技术推广与转化</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3,860,000.00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3,860,000.00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2130209</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森林生态效益补偿</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2,910,100.00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2,910,100.00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2130211</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动植物保护</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6,820,000.00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6,820,000.00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2130212</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湿地保护</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850,000.00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850,000.00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2130220</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对外合作与交流</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400,000.00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400,000.00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2130221</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产业化管理</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1,050,000.00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1,050,000.00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2130299</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其他林业和草原支出</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17,270,000.00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17,270,000.00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21399</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其他农林水支出</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8,670,000.00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8,670,000.00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2139999</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其他农林水支出</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8,670,000.00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8,670,000.00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214</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交通运输支出</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400,000.00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400,000.00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21401</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公路水路运输</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400,000.00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400,000.00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2140106</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公路养护</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400,000.00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400,000.00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221</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住房保障支出</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22102</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住房改革支出</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858"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2210201</w:t>
            </w:r>
          </w:p>
        </w:tc>
        <w:tc>
          <w:tcPr>
            <w:tcW w:w="3544" w:type="dxa"/>
            <w:gridSpan w:val="2"/>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住房公积金</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3,300,000.00</w:t>
            </w:r>
          </w:p>
        </w:tc>
        <w:tc>
          <w:tcPr>
            <w:tcW w:w="1559"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3,300,000.00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58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09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64" w:type="dxa"/>
            <w:gridSpan w:val="2"/>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5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bl>
    <w:p>
      <w:pPr>
        <w:rPr>
          <w:rFonts w:ascii="Times New Roman" w:hAnsi="Times New Roman" w:eastAsia="方正小标宋_GBK" w:cs="Times New Roman"/>
          <w:color w:val="000000"/>
          <w:kern w:val="0"/>
          <w:sz w:val="36"/>
          <w:szCs w:val="21"/>
        </w:rPr>
      </w:pPr>
      <w:r>
        <w:t>注：本表反映部门本年度取得的各项收入情况。</w:t>
      </w:r>
    </w:p>
    <w:tbl>
      <w:tblPr>
        <w:tblStyle w:val="6"/>
        <w:tblW w:w="15342" w:type="dxa"/>
        <w:tblInd w:w="0" w:type="dxa"/>
        <w:tblLayout w:type="fixed"/>
        <w:tblCellMar>
          <w:top w:w="0" w:type="dxa"/>
          <w:left w:w="0" w:type="dxa"/>
          <w:bottom w:w="0" w:type="dxa"/>
          <w:right w:w="0" w:type="dxa"/>
        </w:tblCellMar>
      </w:tblPr>
      <w:tblGrid>
        <w:gridCol w:w="4139"/>
        <w:gridCol w:w="9314"/>
        <w:gridCol w:w="1635"/>
        <w:gridCol w:w="254"/>
      </w:tblGrid>
      <w:tr>
        <w:tblPrEx>
          <w:tblCellMar>
            <w:top w:w="0" w:type="dxa"/>
            <w:left w:w="0" w:type="dxa"/>
            <w:bottom w:w="0" w:type="dxa"/>
            <w:right w:w="0" w:type="dxa"/>
          </w:tblCellMar>
        </w:tblPrEx>
        <w:trPr>
          <w:trHeight w:val="435" w:hRule="atLeast"/>
        </w:trPr>
        <w:tc>
          <w:tcPr>
            <w:tcW w:w="15342" w:type="dxa"/>
            <w:gridSpan w:val="4"/>
            <w:tcBorders>
              <w:top w:val="nil"/>
              <w:left w:val="nil"/>
              <w:bottom w:val="nil"/>
              <w:right w:val="nil"/>
            </w:tcBorders>
            <w:shd w:val="clear" w:color="auto" w:fill="auto"/>
            <w:noWrap/>
            <w:tcMar>
              <w:top w:w="15" w:type="dxa"/>
              <w:left w:w="15" w:type="dxa"/>
              <w:bottom w:w="0" w:type="dxa"/>
              <w:right w:w="15" w:type="dxa"/>
            </w:tcMar>
            <w:vAlign w:val="center"/>
          </w:tcPr>
          <w:p>
            <w:pPr>
              <w:jc w:val="center"/>
              <w:rPr>
                <w:rFonts w:ascii="华文中宋" w:hAnsi="华文中宋" w:eastAsia="华文中宋"/>
                <w:color w:val="000000"/>
                <w:sz w:val="32"/>
                <w:szCs w:val="32"/>
              </w:rPr>
            </w:pPr>
          </w:p>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支出决算表</w:t>
            </w:r>
          </w:p>
        </w:tc>
      </w:tr>
      <w:tr>
        <w:tblPrEx>
          <w:tblCellMar>
            <w:top w:w="0" w:type="dxa"/>
            <w:left w:w="0" w:type="dxa"/>
            <w:bottom w:w="0" w:type="dxa"/>
            <w:right w:w="0" w:type="dxa"/>
          </w:tblCellMar>
        </w:tblPrEx>
        <w:trPr>
          <w:gridAfter w:val="1"/>
          <w:wAfter w:w="254" w:type="dxa"/>
          <w:trHeight w:val="339" w:hRule="atLeast"/>
        </w:trPr>
        <w:tc>
          <w:tcPr>
            <w:tcW w:w="4139"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31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35" w:type="dxa"/>
            <w:tcBorders>
              <w:top w:val="nil"/>
              <w:left w:val="nil"/>
              <w:bottom w:val="nil"/>
              <w:right w:val="nil"/>
            </w:tcBorders>
            <w:shd w:val="clear" w:color="000000" w:fill="FFFFFF"/>
            <w:noWrap/>
            <w:tcMar>
              <w:top w:w="15" w:type="dxa"/>
              <w:left w:w="15" w:type="dxa"/>
              <w:bottom w:w="0" w:type="dxa"/>
              <w:right w:w="15" w:type="dxa"/>
            </w:tcMar>
            <w:vAlign w:val="center"/>
          </w:tcPr>
          <w:p>
            <w:pPr>
              <w:ind w:right="400"/>
              <w:rPr>
                <w:rFonts w:ascii="宋体" w:hAnsi="宋体" w:eastAsia="宋体" w:cs="宋体"/>
                <w:color w:val="000000"/>
                <w:sz w:val="20"/>
                <w:szCs w:val="20"/>
              </w:rPr>
            </w:pPr>
            <w:r>
              <w:rPr>
                <w:rFonts w:hint="eastAsia"/>
                <w:color w:val="000000"/>
                <w:sz w:val="20"/>
                <w:szCs w:val="20"/>
              </w:rPr>
              <w:t>公开03表</w:t>
            </w:r>
          </w:p>
        </w:tc>
      </w:tr>
      <w:tr>
        <w:tblPrEx>
          <w:tblCellMar>
            <w:top w:w="0" w:type="dxa"/>
            <w:left w:w="0" w:type="dxa"/>
            <w:bottom w:w="0" w:type="dxa"/>
            <w:right w:w="0" w:type="dxa"/>
          </w:tblCellMar>
        </w:tblPrEx>
        <w:trPr>
          <w:gridAfter w:val="1"/>
          <w:wAfter w:w="254" w:type="dxa"/>
          <w:trHeight w:val="387" w:hRule="atLeast"/>
        </w:trPr>
        <w:tc>
          <w:tcPr>
            <w:tcW w:w="13453"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ind w:firstLine="400" w:firstLineChars="200"/>
              <w:rPr>
                <w:rFonts w:ascii="宋体" w:hAnsi="宋体" w:eastAsia="宋体" w:cs="宋体"/>
                <w:color w:val="000000"/>
                <w:sz w:val="20"/>
                <w:szCs w:val="20"/>
              </w:rPr>
            </w:pPr>
            <w:r>
              <w:rPr>
                <w:rFonts w:hint="eastAsia"/>
                <w:color w:val="000000"/>
                <w:sz w:val="20"/>
                <w:szCs w:val="20"/>
              </w:rPr>
              <w:t>部门：</w:t>
            </w:r>
            <w:r>
              <w:rPr>
                <w:rFonts w:hint="eastAsia" w:ascii="宋体" w:hAnsi="宋体" w:eastAsia="宋体" w:cs="宋体"/>
                <w:color w:val="000000"/>
                <w:kern w:val="0"/>
                <w:sz w:val="20"/>
                <w:szCs w:val="20"/>
              </w:rPr>
              <w:t>湖南省林业科学院</w:t>
            </w:r>
          </w:p>
        </w:tc>
        <w:tc>
          <w:tcPr>
            <w:tcW w:w="1635" w:type="dxa"/>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单位：元</w:t>
            </w:r>
          </w:p>
        </w:tc>
      </w:tr>
      <w:tr>
        <w:tblPrEx>
          <w:tblCellMar>
            <w:top w:w="0" w:type="dxa"/>
            <w:left w:w="108" w:type="dxa"/>
            <w:bottom w:w="0" w:type="dxa"/>
            <w:right w:w="108" w:type="dxa"/>
          </w:tblCellMar>
        </w:tblPrEx>
        <w:trPr>
          <w:gridAfter w:val="1"/>
          <w:wAfter w:w="254" w:type="dxa"/>
          <w:trHeight w:val="630" w:hRule="atLeast"/>
        </w:trPr>
        <w:tc>
          <w:tcPr>
            <w:tcW w:w="15088" w:type="dxa"/>
            <w:gridSpan w:val="3"/>
            <w:tcBorders>
              <w:top w:val="nil"/>
              <w:left w:val="nil"/>
              <w:bottom w:val="nil"/>
              <w:right w:val="nil"/>
            </w:tcBorders>
            <w:shd w:val="clear" w:color="auto" w:fill="auto"/>
            <w:vAlign w:val="center"/>
          </w:tcPr>
          <w:tbl>
            <w:tblPr>
              <w:tblStyle w:val="6"/>
              <w:tblW w:w="14928" w:type="dxa"/>
              <w:tblInd w:w="0" w:type="dxa"/>
              <w:tblLayout w:type="fixed"/>
              <w:tblCellMar>
                <w:top w:w="0" w:type="dxa"/>
                <w:left w:w="108" w:type="dxa"/>
                <w:bottom w:w="0" w:type="dxa"/>
                <w:right w:w="108" w:type="dxa"/>
              </w:tblCellMar>
            </w:tblPr>
            <w:tblGrid>
              <w:gridCol w:w="1263"/>
              <w:gridCol w:w="3884"/>
              <w:gridCol w:w="2126"/>
              <w:gridCol w:w="1843"/>
              <w:gridCol w:w="1985"/>
              <w:gridCol w:w="1134"/>
              <w:gridCol w:w="1275"/>
              <w:gridCol w:w="1418"/>
            </w:tblGrid>
            <w:tr>
              <w:tblPrEx>
                <w:tblCellMar>
                  <w:top w:w="0" w:type="dxa"/>
                  <w:left w:w="108" w:type="dxa"/>
                  <w:bottom w:w="0" w:type="dxa"/>
                  <w:right w:w="108" w:type="dxa"/>
                </w:tblCellMar>
              </w:tblPrEx>
              <w:trPr>
                <w:trHeight w:val="312" w:hRule="atLeast"/>
              </w:trPr>
              <w:tc>
                <w:tcPr>
                  <w:tcW w:w="51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w:t>
                  </w:r>
                </w:p>
              </w:tc>
              <w:tc>
                <w:tcPr>
                  <w:tcW w:w="21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本年支出合计</w:t>
                  </w:r>
                </w:p>
              </w:tc>
              <w:tc>
                <w:tcPr>
                  <w:tcW w:w="18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19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rPr>
                  </w:pPr>
                  <w:r>
                    <w:rPr>
                      <w:rFonts w:ascii="宋体" w:hAnsi="宋体" w:eastAsia="宋体" w:cs="宋体"/>
                      <w:color w:val="000000"/>
                      <w:kern w:val="0"/>
                      <w:sz w:val="20"/>
                      <w:szCs w:val="20"/>
                    </w:rPr>
                    <w:t>上缴上级支出</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经营支出</w:t>
                  </w:r>
                </w:p>
              </w:tc>
              <w:tc>
                <w:tcPr>
                  <w:tcW w:w="14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对附属单位补助支出</w:t>
                  </w:r>
                </w:p>
              </w:tc>
            </w:tr>
            <w:tr>
              <w:tblPrEx>
                <w:tblCellMar>
                  <w:top w:w="0" w:type="dxa"/>
                  <w:left w:w="108" w:type="dxa"/>
                  <w:bottom w:w="0" w:type="dxa"/>
                  <w:right w:w="108" w:type="dxa"/>
                </w:tblCellMar>
              </w:tblPrEx>
              <w:trPr>
                <w:trHeight w:val="312" w:hRule="atLeast"/>
              </w:trPr>
              <w:tc>
                <w:tcPr>
                  <w:tcW w:w="1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功能分类科目编码</w:t>
                  </w:r>
                </w:p>
              </w:tc>
              <w:tc>
                <w:tcPr>
                  <w:tcW w:w="38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科目名称</w:t>
                  </w:r>
                </w:p>
              </w:tc>
              <w:tc>
                <w:tcPr>
                  <w:tcW w:w="21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p>
              </w:tc>
              <w:tc>
                <w:tcPr>
                  <w:tcW w:w="18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p>
              </w:tc>
              <w:tc>
                <w:tcPr>
                  <w:tcW w:w="19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p>
              </w:tc>
              <w:tc>
                <w:tcPr>
                  <w:tcW w:w="11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p>
              </w:tc>
              <w:tc>
                <w:tcPr>
                  <w:tcW w:w="14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307" w:hRule="atLeast"/>
              </w:trPr>
              <w:tc>
                <w:tcPr>
                  <w:tcW w:w="51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栏次</w:t>
                  </w:r>
                </w:p>
              </w:tc>
              <w:tc>
                <w:tcPr>
                  <w:tcW w:w="21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1843"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1985"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1134"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1275"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1418"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r>
            <w:tr>
              <w:tblPrEx>
                <w:tblCellMar>
                  <w:top w:w="0" w:type="dxa"/>
                  <w:left w:w="108" w:type="dxa"/>
                  <w:bottom w:w="0" w:type="dxa"/>
                  <w:right w:w="108" w:type="dxa"/>
                </w:tblCellMar>
              </w:tblPrEx>
              <w:trPr>
                <w:trHeight w:val="300" w:hRule="atLeast"/>
              </w:trPr>
              <w:tc>
                <w:tcPr>
                  <w:tcW w:w="51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cs="宋体" w:asciiTheme="minorEastAsia" w:hAnsiTheme="minorEastAsia"/>
                      <w:color w:val="000000"/>
                      <w:sz w:val="20"/>
                      <w:szCs w:val="20"/>
                    </w:rPr>
                  </w:pPr>
                  <w:r>
                    <w:rPr>
                      <w:rFonts w:hint="eastAsia" w:cs="宋体" w:asciiTheme="minorEastAsia" w:hAnsiTheme="minorEastAsia"/>
                      <w:color w:val="000000"/>
                      <w:kern w:val="0"/>
                      <w:sz w:val="20"/>
                      <w:szCs w:val="20"/>
                    </w:rPr>
                    <w:t>合计</w:t>
                  </w:r>
                </w:p>
              </w:tc>
              <w:tc>
                <w:tcPr>
                  <w:tcW w:w="2126" w:type="dxa"/>
                  <w:tcBorders>
                    <w:top w:val="single" w:color="000000" w:sz="4" w:space="0"/>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106,894,244.10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38,656,473.76</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68,237,770.34</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201</w:t>
                  </w:r>
                </w:p>
              </w:tc>
              <w:tc>
                <w:tcPr>
                  <w:tcW w:w="3884" w:type="dxa"/>
                  <w:tcBorders>
                    <w:top w:val="single" w:color="000000" w:sz="4" w:space="0"/>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一般公共服务支出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77,894.90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77,894.90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20138</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市场监督管理事务</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77,894.90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77,894.90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2013810</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质量基础</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77,894.90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77,894.90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206</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科学技术支出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64,519,971.67</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30,049,073.76</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34,470,897.91</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252"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20602</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基础研究</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3,156,173.90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3,156,173.90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2060203</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自然科学基金</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175,116.90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175,116.90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2060204</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实验室及相关设施</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2,981,057.00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2,981,057.00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20603</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应用研究</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54,238,074.37</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30,049,073.76</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24,189,000.61</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2060301</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机构运行</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30,049,073.76</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30,049,073.76</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2060302</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社会公益研究</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23,989,000.61</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23,989,000.61</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2060303</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高技术研究</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200,000.00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20605</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科技条件与服务</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5,945,309.00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5,945,309.00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2060503</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科技条件专项</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4,944,396.00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4,944,396.00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2060599</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其他科技条件与服务支出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1,000,913.00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1,000,913.00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20607</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科学技术普及</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130,414.40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130,414.40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2060704</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学术交流活动</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130,414.40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130,414.40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20609</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科技重大项目</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1,000,000.00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1,000,000.00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2060902</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重点研发计划</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1,000,000.00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1,000,000.00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20699</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其他科学技术支出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50,000.00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2069901</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科技奖励</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50,000.00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50,000.00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208</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社会保障和就业支出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5,307,400.00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5,307,400.00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20805</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行政事业单位养老支出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5,307,400.00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5,307,400.00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2080502</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事业单位离退休</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7,400.00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7,400.00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2080505</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机关事业单位基本养老保险缴费支出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3,500,000.00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3,500,000.00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2080506</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机关事业单位职业年金缴费支出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1,800,000.00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1,800,000.00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211</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节能环保支出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50,000.00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21105</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天然林保护</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50,000.00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2110507</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停伐补助</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50,000.00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50,000.00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213</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农林水支出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33,397,547.39</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33,397,547.39</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21301</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农业农村</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1,453,658.49</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1,453,658.49</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2130105</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农垦运行</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756,051.74</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756,051.74</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2130108</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病虫害控制</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606,751.13</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606,751.13</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2130122</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农业生产发展</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34,799.40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34,799.40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2130199</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其他农业农村支出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56,056.22</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56,056.22</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21302</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林业和草原</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31,931,704.90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31,931,704.90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2130205</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森林资源培育</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450,506.10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450,506.10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2130206</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技术推广与转化</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4,023,797.78</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4,023,797.78</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2130209</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森林生态效益补偿</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2,643,566.60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2,643,566.60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2130210</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自然保护区等管理</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2,033,891.00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2,033,891.00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2130211</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动植物保护</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3,808,152.88</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3,808,152.88</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2130212</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湿地保护</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794,923.00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794,923.00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2130220</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对外合作与交流</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81,136.50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81,136.50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2130221</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产业化管理</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1,844,224.87</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1,844,224.87</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2130234</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林业草原防灾减灾</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1,466,519.50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1,466,519.50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2130299</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其他林业和草原支出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14,784,986.67</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14,784,986.67</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21399</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其他农林水支出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12,184.00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12,184.00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2139999</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其他农林水支出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12,184.00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12,184.00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214</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交通运输支出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241,430.14</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241,430.14</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21401</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公路水路运输</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241,430.14</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241,430.14</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2140106</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公路养护</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241,430.14</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241,430.14</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221</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住房保障支出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3,300,000.00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3,300,000.00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22102</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bCs/>
                      <w:sz w:val="20"/>
                      <w:szCs w:val="20"/>
                    </w:rPr>
                  </w:pPr>
                  <w:r>
                    <w:rPr>
                      <w:rFonts w:hint="eastAsia" w:cs="Arial" w:asciiTheme="minorEastAsia" w:hAnsiTheme="minorEastAsia"/>
                      <w:bCs/>
                      <w:sz w:val="20"/>
                      <w:szCs w:val="20"/>
                    </w:rPr>
                    <w:t>住房改革支出</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3,300,000.00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3,300,000.00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300" w:hRule="atLeast"/>
              </w:trPr>
              <w:tc>
                <w:tcPr>
                  <w:tcW w:w="1263" w:type="dxa"/>
                  <w:tcBorders>
                    <w:top w:val="nil"/>
                    <w:left w:val="single" w:color="000000" w:sz="4" w:space="0"/>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2210201</w:t>
                  </w:r>
                </w:p>
              </w:tc>
              <w:tc>
                <w:tcPr>
                  <w:tcW w:w="3884" w:type="dxa"/>
                  <w:tcBorders>
                    <w:top w:val="nil"/>
                    <w:left w:val="nil"/>
                    <w:bottom w:val="single" w:color="000000" w:sz="4" w:space="0"/>
                    <w:right w:val="single" w:color="000000" w:sz="4" w:space="0"/>
                  </w:tcBorders>
                  <w:shd w:val="clear" w:color="auto" w:fill="auto"/>
                  <w:noWrap/>
                  <w:vAlign w:val="center"/>
                </w:tcPr>
                <w:p>
                  <w:pPr>
                    <w:rPr>
                      <w:rFonts w:cs="Arial" w:asciiTheme="minorEastAsia" w:hAnsiTheme="minorEastAsia"/>
                      <w:sz w:val="20"/>
                      <w:szCs w:val="20"/>
                    </w:rPr>
                  </w:pPr>
                  <w:r>
                    <w:rPr>
                      <w:rFonts w:hint="eastAsia" w:cs="Arial" w:asciiTheme="minorEastAsia" w:hAnsiTheme="minorEastAsia"/>
                      <w:sz w:val="20"/>
                      <w:szCs w:val="20"/>
                    </w:rPr>
                    <w:t xml:space="preserve">  住房公积金</w:t>
                  </w:r>
                </w:p>
              </w:tc>
              <w:tc>
                <w:tcPr>
                  <w:tcW w:w="2126"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3,300,000.00</w:t>
                  </w:r>
                </w:p>
              </w:tc>
              <w:tc>
                <w:tcPr>
                  <w:tcW w:w="1843"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3,300,000.00</w:t>
                  </w:r>
                </w:p>
              </w:tc>
              <w:tc>
                <w:tcPr>
                  <w:tcW w:w="198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134"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275"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1418" w:type="dxa"/>
                  <w:tcBorders>
                    <w:top w:val="nil"/>
                    <w:left w:val="nil"/>
                    <w:bottom w:val="single" w:color="000000" w:sz="4" w:space="0"/>
                    <w:right w:val="single" w:color="000000" w:sz="4" w:space="0"/>
                  </w:tcBorders>
                  <w:shd w:val="clear" w:color="auto" w:fill="auto"/>
                  <w:noWrap/>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bl>
          <w:p>
            <w:pPr>
              <w:widowControl/>
              <w:jc w:val="left"/>
              <w:rPr>
                <w:rFonts w:ascii="宋体" w:hAnsi="宋体" w:eastAsia="宋体" w:cs="宋体"/>
                <w:kern w:val="0"/>
                <w:szCs w:val="21"/>
              </w:rPr>
            </w:pPr>
            <w:r>
              <w:rPr>
                <w:rFonts w:hint="eastAsia" w:ascii="宋体" w:hAnsi="宋体" w:eastAsia="宋体" w:cs="宋体"/>
                <w:kern w:val="0"/>
                <w:szCs w:val="21"/>
              </w:rPr>
              <w:t>注：本表反映部门本年度各项支出情况。</w:t>
            </w:r>
          </w:p>
        </w:tc>
      </w:tr>
    </w:tbl>
    <w:p>
      <w:pPr>
        <w:widowControl/>
        <w:rPr>
          <w:rFonts w:ascii="Times New Roman" w:hAnsi="Times New Roman" w:eastAsia="方正小标宋_GBK" w:cs="Times New Roman"/>
          <w:color w:val="000000"/>
          <w:kern w:val="0"/>
          <w:sz w:val="36"/>
          <w:szCs w:val="21"/>
        </w:rPr>
      </w:pPr>
    </w:p>
    <w:tbl>
      <w:tblPr>
        <w:tblStyle w:val="6"/>
        <w:tblW w:w="16559" w:type="dxa"/>
        <w:tblInd w:w="93" w:type="dxa"/>
        <w:tblLayout w:type="fixed"/>
        <w:tblCellMar>
          <w:top w:w="0" w:type="dxa"/>
          <w:left w:w="108" w:type="dxa"/>
          <w:bottom w:w="0" w:type="dxa"/>
          <w:right w:w="108" w:type="dxa"/>
        </w:tblCellMar>
      </w:tblPr>
      <w:tblGrid>
        <w:gridCol w:w="2816"/>
        <w:gridCol w:w="573"/>
        <w:gridCol w:w="750"/>
        <w:gridCol w:w="979"/>
        <w:gridCol w:w="2603"/>
        <w:gridCol w:w="573"/>
        <w:gridCol w:w="1786"/>
        <w:gridCol w:w="1783"/>
        <w:gridCol w:w="1725"/>
        <w:gridCol w:w="165"/>
        <w:gridCol w:w="1635"/>
        <w:gridCol w:w="45"/>
        <w:gridCol w:w="1126"/>
      </w:tblGrid>
      <w:tr>
        <w:tblPrEx>
          <w:tblCellMar>
            <w:top w:w="0" w:type="dxa"/>
            <w:left w:w="108" w:type="dxa"/>
            <w:bottom w:w="0" w:type="dxa"/>
            <w:right w:w="108" w:type="dxa"/>
          </w:tblCellMar>
        </w:tblPrEx>
        <w:trPr>
          <w:trHeight w:val="360" w:hRule="atLeast"/>
        </w:trPr>
        <w:tc>
          <w:tcPr>
            <w:tcW w:w="16559" w:type="dxa"/>
            <w:gridSpan w:val="13"/>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bookmarkStart w:id="0" w:name="RANGE!A1:I22"/>
            <w:bookmarkEnd w:id="0"/>
            <w:bookmarkStart w:id="1" w:name="RANGE!A1:F16"/>
            <w:r>
              <w:rPr>
                <w:rFonts w:hint="eastAsia" w:ascii="华文中宋" w:hAnsi="华文中宋" w:eastAsia="华文中宋" w:cs="宋体"/>
                <w:color w:val="000000"/>
                <w:kern w:val="0"/>
                <w:sz w:val="32"/>
                <w:szCs w:val="32"/>
              </w:rPr>
              <w:t>财政拨款收入支出决算总表</w:t>
            </w:r>
          </w:p>
        </w:tc>
      </w:tr>
      <w:tr>
        <w:tblPrEx>
          <w:tblCellMar>
            <w:top w:w="0" w:type="dxa"/>
            <w:left w:w="0" w:type="dxa"/>
            <w:bottom w:w="0" w:type="dxa"/>
            <w:right w:w="0" w:type="dxa"/>
          </w:tblCellMar>
        </w:tblPrEx>
        <w:trPr>
          <w:gridAfter w:val="1"/>
          <w:wAfter w:w="1126" w:type="dxa"/>
          <w:trHeight w:val="339" w:hRule="atLeast"/>
        </w:trPr>
        <w:tc>
          <w:tcPr>
            <w:tcW w:w="4139"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614" w:type="dxa"/>
            <w:gridSpan w:val="7"/>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680"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ind w:right="400"/>
              <w:rPr>
                <w:rFonts w:ascii="宋体" w:hAnsi="宋体" w:eastAsia="宋体" w:cs="宋体"/>
                <w:color w:val="000000"/>
                <w:sz w:val="20"/>
                <w:szCs w:val="20"/>
              </w:rPr>
            </w:pPr>
            <w:r>
              <w:rPr>
                <w:rFonts w:hint="eastAsia"/>
                <w:color w:val="000000"/>
                <w:sz w:val="20"/>
                <w:szCs w:val="20"/>
              </w:rPr>
              <w:t>公开04表</w:t>
            </w:r>
          </w:p>
        </w:tc>
      </w:tr>
      <w:tr>
        <w:tblPrEx>
          <w:tblCellMar>
            <w:top w:w="0" w:type="dxa"/>
            <w:left w:w="0" w:type="dxa"/>
            <w:bottom w:w="0" w:type="dxa"/>
            <w:right w:w="0" w:type="dxa"/>
          </w:tblCellMar>
        </w:tblPrEx>
        <w:trPr>
          <w:gridAfter w:val="1"/>
          <w:wAfter w:w="1126" w:type="dxa"/>
          <w:trHeight w:val="387" w:hRule="atLeast"/>
        </w:trPr>
        <w:tc>
          <w:tcPr>
            <w:tcW w:w="13753" w:type="dxa"/>
            <w:gridSpan w:val="10"/>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w:t>
            </w:r>
            <w:r>
              <w:rPr>
                <w:rFonts w:hint="eastAsia" w:ascii="宋体" w:hAnsi="宋体" w:eastAsia="宋体" w:cs="宋体"/>
                <w:color w:val="000000"/>
                <w:kern w:val="0"/>
                <w:sz w:val="20"/>
                <w:szCs w:val="20"/>
              </w:rPr>
              <w:t>湖南省林业科学院</w:t>
            </w:r>
          </w:p>
        </w:tc>
        <w:tc>
          <w:tcPr>
            <w:tcW w:w="1680" w:type="dxa"/>
            <w:gridSpan w:val="2"/>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ascii="宋体" w:hAnsi="宋体" w:eastAsia="宋体" w:cs="宋体"/>
                <w:color w:val="000000"/>
                <w:sz w:val="20"/>
                <w:szCs w:val="20"/>
              </w:rPr>
              <w:t>单位：元</w:t>
            </w:r>
          </w:p>
        </w:tc>
      </w:tr>
      <w:tr>
        <w:tblPrEx>
          <w:tblCellMar>
            <w:top w:w="0" w:type="dxa"/>
            <w:left w:w="108" w:type="dxa"/>
            <w:bottom w:w="0" w:type="dxa"/>
            <w:right w:w="108" w:type="dxa"/>
          </w:tblCellMar>
        </w:tblPrEx>
        <w:trPr>
          <w:gridAfter w:val="2"/>
          <w:wAfter w:w="1171" w:type="dxa"/>
          <w:trHeight w:val="300" w:hRule="atLeast"/>
        </w:trPr>
        <w:tc>
          <w:tcPr>
            <w:tcW w:w="511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收     入</w:t>
            </w:r>
          </w:p>
        </w:tc>
        <w:tc>
          <w:tcPr>
            <w:tcW w:w="10270" w:type="dxa"/>
            <w:gridSpan w:val="7"/>
            <w:tcBorders>
              <w:top w:val="single" w:color="000000" w:sz="4" w:space="0"/>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支          出</w:t>
            </w:r>
          </w:p>
        </w:tc>
      </w:tr>
      <w:tr>
        <w:tblPrEx>
          <w:tblCellMar>
            <w:top w:w="0" w:type="dxa"/>
            <w:left w:w="108" w:type="dxa"/>
            <w:bottom w:w="0" w:type="dxa"/>
            <w:right w:w="108" w:type="dxa"/>
          </w:tblCellMar>
        </w:tblPrEx>
        <w:trPr>
          <w:gridAfter w:val="2"/>
          <w:wAfter w:w="1171" w:type="dxa"/>
          <w:trHeight w:val="312" w:hRule="atLeast"/>
        </w:trPr>
        <w:tc>
          <w:tcPr>
            <w:tcW w:w="2816" w:type="dxa"/>
            <w:vMerge w:val="restart"/>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项目</w:t>
            </w:r>
          </w:p>
        </w:tc>
        <w:tc>
          <w:tcPr>
            <w:tcW w:w="573"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1729" w:type="dxa"/>
            <w:gridSpan w:val="2"/>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金额</w:t>
            </w:r>
          </w:p>
        </w:tc>
        <w:tc>
          <w:tcPr>
            <w:tcW w:w="2603" w:type="dxa"/>
            <w:vMerge w:val="restart"/>
            <w:tcBorders>
              <w:top w:val="nil"/>
              <w:left w:val="nil"/>
              <w:bottom w:val="single" w:color="000000" w:sz="4" w:space="0"/>
              <w:right w:val="single" w:color="000000" w:sz="4" w:space="0"/>
            </w:tcBorders>
            <w:shd w:val="clear" w:color="auto" w:fill="auto"/>
            <w:vAlign w:val="bottom"/>
          </w:tcPr>
          <w:p>
            <w:pPr>
              <w:widowControl/>
              <w:jc w:val="center"/>
              <w:textAlignment w:val="bottom"/>
              <w:rPr>
                <w:rFonts w:ascii="宋体" w:hAnsi="宋体" w:eastAsia="宋体" w:cs="宋体"/>
                <w:color w:val="000000"/>
                <w:kern w:val="0"/>
                <w:sz w:val="20"/>
                <w:szCs w:val="20"/>
              </w:rPr>
            </w:pPr>
            <w:r>
              <w:rPr>
                <w:rFonts w:hint="eastAsia" w:ascii="宋体" w:hAnsi="宋体" w:eastAsia="宋体" w:cs="宋体"/>
                <w:color w:val="000000"/>
                <w:kern w:val="0"/>
                <w:sz w:val="20"/>
                <w:szCs w:val="20"/>
              </w:rPr>
              <w:t>项目</w:t>
            </w:r>
          </w:p>
          <w:p>
            <w:pPr>
              <w:widowControl/>
              <w:jc w:val="center"/>
              <w:textAlignment w:val="bottom"/>
              <w:rPr>
                <w:rFonts w:ascii="宋体" w:hAnsi="宋体" w:eastAsia="宋体" w:cs="宋体"/>
                <w:color w:val="000000"/>
                <w:kern w:val="0"/>
                <w:sz w:val="20"/>
                <w:szCs w:val="20"/>
              </w:rPr>
            </w:pPr>
          </w:p>
        </w:tc>
        <w:tc>
          <w:tcPr>
            <w:tcW w:w="573"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1786" w:type="dxa"/>
            <w:vMerge w:val="restart"/>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合计</w:t>
            </w:r>
          </w:p>
        </w:tc>
        <w:tc>
          <w:tcPr>
            <w:tcW w:w="1783"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一般公共预算财政拨款</w:t>
            </w:r>
          </w:p>
        </w:tc>
        <w:tc>
          <w:tcPr>
            <w:tcW w:w="1725" w:type="dxa"/>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政府性基金预算财政拨款</w:t>
            </w:r>
          </w:p>
        </w:tc>
        <w:tc>
          <w:tcPr>
            <w:tcW w:w="1800" w:type="dxa"/>
            <w:gridSpan w:val="2"/>
            <w:vMerge w:val="restart"/>
            <w:tcBorders>
              <w:top w:val="nil"/>
              <w:left w:val="nil"/>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国有资本经营预算财政拨款</w:t>
            </w:r>
          </w:p>
        </w:tc>
      </w:tr>
      <w:tr>
        <w:tblPrEx>
          <w:tblCellMar>
            <w:top w:w="0" w:type="dxa"/>
            <w:left w:w="108" w:type="dxa"/>
            <w:bottom w:w="0" w:type="dxa"/>
            <w:right w:w="108" w:type="dxa"/>
          </w:tblCellMar>
        </w:tblPrEx>
        <w:trPr>
          <w:gridAfter w:val="2"/>
          <w:wAfter w:w="1171" w:type="dxa"/>
          <w:trHeight w:val="600" w:hRule="atLeast"/>
        </w:trPr>
        <w:tc>
          <w:tcPr>
            <w:tcW w:w="2816" w:type="dxa"/>
            <w:vMerge w:val="continue"/>
            <w:tcBorders>
              <w:top w:val="nil"/>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573"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729" w:type="dxa"/>
            <w:gridSpan w:val="2"/>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2603" w:type="dxa"/>
            <w:vMerge w:val="continue"/>
            <w:tcBorders>
              <w:top w:val="nil"/>
              <w:left w:val="nil"/>
              <w:bottom w:val="single" w:color="000000" w:sz="4" w:space="0"/>
              <w:right w:val="single" w:color="000000" w:sz="4" w:space="0"/>
            </w:tcBorders>
            <w:shd w:val="clear" w:color="auto" w:fill="auto"/>
            <w:vAlign w:val="bottom"/>
          </w:tcPr>
          <w:p>
            <w:pPr>
              <w:rPr>
                <w:rFonts w:ascii="宋体" w:hAnsi="宋体" w:eastAsia="宋体" w:cs="宋体"/>
                <w:color w:val="000000"/>
                <w:sz w:val="20"/>
                <w:szCs w:val="20"/>
              </w:rPr>
            </w:pPr>
          </w:p>
        </w:tc>
        <w:tc>
          <w:tcPr>
            <w:tcW w:w="573"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786" w:type="dxa"/>
            <w:vMerge w:val="continue"/>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1783"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725" w:type="dxa"/>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c>
          <w:tcPr>
            <w:tcW w:w="1800" w:type="dxa"/>
            <w:gridSpan w:val="2"/>
            <w:vMerge w:val="continue"/>
            <w:tcBorders>
              <w:top w:val="nil"/>
              <w:left w:val="nil"/>
              <w:bottom w:val="single" w:color="000000" w:sz="4" w:space="0"/>
              <w:right w:val="single" w:color="000000" w:sz="4" w:space="0"/>
            </w:tcBorders>
            <w:shd w:val="clear" w:color="auto" w:fill="auto"/>
            <w:vAlign w:val="center"/>
          </w:tcPr>
          <w:p>
            <w:pPr>
              <w:jc w:val="center"/>
              <w:rPr>
                <w:rFonts w:ascii="宋体" w:hAnsi="宋体" w:eastAsia="宋体" w:cs="宋体"/>
                <w:color w:val="000000"/>
                <w:sz w:val="20"/>
                <w:szCs w:val="20"/>
              </w:rPr>
            </w:pP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栏次</w:t>
            </w:r>
          </w:p>
        </w:tc>
        <w:tc>
          <w:tcPr>
            <w:tcW w:w="573" w:type="dxa"/>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1729" w:type="dxa"/>
            <w:gridSpan w:val="2"/>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2603" w:type="dxa"/>
            <w:tcBorders>
              <w:top w:val="nil"/>
              <w:left w:val="nil"/>
              <w:bottom w:val="single" w:color="000000" w:sz="4" w:space="0"/>
              <w:right w:val="single" w:color="000000" w:sz="4" w:space="0"/>
            </w:tcBorders>
            <w:shd w:val="clear" w:color="auto" w:fill="auto"/>
            <w:noWrap/>
            <w:vAlign w:val="bottom"/>
          </w:tcPr>
          <w:p>
            <w:pPr>
              <w:widowControl/>
              <w:jc w:val="center"/>
              <w:textAlignment w:val="bottom"/>
              <w:rPr>
                <w:rFonts w:ascii="宋体" w:hAnsi="宋体" w:eastAsia="宋体" w:cs="宋体"/>
                <w:color w:val="000000"/>
                <w:sz w:val="20"/>
                <w:szCs w:val="20"/>
              </w:rPr>
            </w:pPr>
            <w:r>
              <w:rPr>
                <w:rFonts w:hint="eastAsia" w:ascii="宋体" w:hAnsi="宋体" w:eastAsia="宋体" w:cs="宋体"/>
                <w:color w:val="000000"/>
                <w:kern w:val="0"/>
                <w:sz w:val="20"/>
                <w:szCs w:val="20"/>
              </w:rPr>
              <w:t>栏次</w:t>
            </w:r>
          </w:p>
        </w:tc>
        <w:tc>
          <w:tcPr>
            <w:tcW w:w="573" w:type="dxa"/>
            <w:tcBorders>
              <w:top w:val="nil"/>
              <w:left w:val="nil"/>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0"/>
                <w:szCs w:val="20"/>
              </w:rPr>
            </w:pPr>
          </w:p>
        </w:tc>
        <w:tc>
          <w:tcPr>
            <w:tcW w:w="1786"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178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1725"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1800" w:type="dxa"/>
            <w:gridSpan w:val="2"/>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一、一般公共预算财政拨款</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92,537,500.00</w:t>
            </w: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一、一般公共服务支出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33</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77,894.90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77,894.90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二、政府性基金预算财政拨款</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二、外交支出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34</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三、国有资本经营财政拨款</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三、国防支出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35</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四、公共安全支出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36</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27"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五、教育支出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37</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六、科学技术支出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38</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37,769,309.30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37,769,309.30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7</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七、文化旅游体育与传媒支出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39</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8</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八、社会保障和就业支出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40</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5,307,400.00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5,307,400.00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9</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九、卫生健康支出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41</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10</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十、节能环保支出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42</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50,000.00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50,000.00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11</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十一、城乡社区支出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43</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12</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十二、农林水支出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44</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33,397,547.39</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33,397,547.39</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13</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十三、交通运输支出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45</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241,430.14</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241,430.14</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14</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十四、资源勘探工业信息等支出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46</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15</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十五、商业服务业等支出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47</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16</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十六、金融支出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48</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17</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十七、援助其他地区支出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49</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18</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十八、自然资源海洋气象等支出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50</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19</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十九、住房保障支出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51</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3,300,000.00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3,300,000.00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20</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二十、粮油物资储备支出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52</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21</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二十一、国有资本经营预算支出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53</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22</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二十二、灾害防治及应急管理支出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54</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23</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二十三、其他支出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55</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b/>
                <w:bCs/>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24</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二十四、债务还本支出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56</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25</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二十五、债务付息支出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57</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26</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二十六、抗疫特别国债安排的支出</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58</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本年收入合计</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27</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92,537,500.00</w:t>
            </w:r>
          </w:p>
        </w:tc>
        <w:tc>
          <w:tcPr>
            <w:tcW w:w="26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本年支出合计</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59</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80,143,581.73</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80,143,581.73</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年初财政拨款结转和结余</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28</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32,155,248.95</w:t>
            </w:r>
          </w:p>
        </w:tc>
        <w:tc>
          <w:tcPr>
            <w:tcW w:w="2603" w:type="dxa"/>
            <w:tcBorders>
              <w:top w:val="nil"/>
              <w:left w:val="nil"/>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年末财政拨款结转和结余</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60</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44,549,167.22</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44,549,167.22</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一般公共预算财政拨款</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29</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32,155,248.95</w:t>
            </w:r>
          </w:p>
        </w:tc>
        <w:tc>
          <w:tcPr>
            <w:tcW w:w="2603"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61</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　</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　</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　</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　</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政府性基金预算财政拨款</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30</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2603"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62</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　</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　</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　</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　</w:t>
            </w:r>
          </w:p>
        </w:tc>
      </w:tr>
      <w:tr>
        <w:tblPrEx>
          <w:tblCellMar>
            <w:top w:w="0" w:type="dxa"/>
            <w:left w:w="108" w:type="dxa"/>
            <w:bottom w:w="0" w:type="dxa"/>
            <w:right w:w="108" w:type="dxa"/>
          </w:tblCellMar>
        </w:tblPrEx>
        <w:trPr>
          <w:gridAfter w:val="2"/>
          <w:wAfter w:w="1171" w:type="dxa"/>
          <w:trHeight w:val="30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 xml:space="preserve">  国有资本经营预算财政拨款</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31</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2603" w:type="dxa"/>
            <w:tcBorders>
              <w:top w:val="nil"/>
              <w:left w:val="nil"/>
              <w:bottom w:val="single" w:color="000000" w:sz="4" w:space="0"/>
              <w:right w:val="single" w:color="000000" w:sz="4" w:space="0"/>
            </w:tcBorders>
            <w:shd w:val="clear" w:color="auto" w:fill="auto"/>
            <w:noWrap/>
            <w:vAlign w:val="center"/>
          </w:tcPr>
          <w:p>
            <w:pPr>
              <w:jc w:val="left"/>
              <w:rPr>
                <w:rFonts w:ascii="宋体" w:hAnsi="宋体" w:eastAsia="宋体" w:cs="宋体"/>
                <w:color w:val="000000"/>
                <w:sz w:val="20"/>
                <w:szCs w:val="20"/>
              </w:rPr>
            </w:pP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63</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　</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　</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　</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　</w:t>
            </w:r>
          </w:p>
        </w:tc>
      </w:tr>
      <w:tr>
        <w:tblPrEx>
          <w:tblCellMar>
            <w:top w:w="0" w:type="dxa"/>
            <w:left w:w="108" w:type="dxa"/>
            <w:bottom w:w="0" w:type="dxa"/>
            <w:right w:w="108" w:type="dxa"/>
          </w:tblCellMar>
        </w:tblPrEx>
        <w:trPr>
          <w:gridAfter w:val="2"/>
          <w:wAfter w:w="1171" w:type="dxa"/>
          <w:trHeight w:val="410" w:hRule="atLeast"/>
        </w:trPr>
        <w:tc>
          <w:tcPr>
            <w:tcW w:w="2816" w:type="dxa"/>
            <w:tcBorders>
              <w:top w:val="nil"/>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总　　计</w:t>
            </w:r>
          </w:p>
        </w:tc>
        <w:tc>
          <w:tcPr>
            <w:tcW w:w="573" w:type="dxa"/>
            <w:tcBorders>
              <w:top w:val="nil"/>
              <w:left w:val="nil"/>
              <w:bottom w:val="single" w:color="000000" w:sz="12"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32</w:t>
            </w:r>
          </w:p>
        </w:tc>
        <w:tc>
          <w:tcPr>
            <w:tcW w:w="1729"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124,692,748.95</w:t>
            </w:r>
          </w:p>
        </w:tc>
        <w:tc>
          <w:tcPr>
            <w:tcW w:w="260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rPr>
              <w:t>总　　计</w:t>
            </w:r>
          </w:p>
        </w:tc>
        <w:tc>
          <w:tcPr>
            <w:tcW w:w="573" w:type="dxa"/>
            <w:tcBorders>
              <w:top w:val="nil"/>
              <w:left w:val="nil"/>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64</w:t>
            </w:r>
          </w:p>
        </w:tc>
        <w:tc>
          <w:tcPr>
            <w:tcW w:w="1786"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124,692,748.95</w:t>
            </w:r>
          </w:p>
        </w:tc>
        <w:tc>
          <w:tcPr>
            <w:tcW w:w="1783"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124,692,748.95</w:t>
            </w:r>
          </w:p>
        </w:tc>
        <w:tc>
          <w:tcPr>
            <w:tcW w:w="1725" w:type="dxa"/>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800" w:type="dxa"/>
            <w:gridSpan w:val="2"/>
            <w:tcBorders>
              <w:top w:val="nil"/>
              <w:left w:val="nil"/>
              <w:bottom w:val="single" w:color="000000" w:sz="4" w:space="0"/>
              <w:right w:val="single" w:color="000000"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bl>
    <w:p>
      <w:r>
        <w:rPr>
          <w:rFonts w:hint="eastAsia" w:ascii="宋体" w:hAnsi="宋体" w:eastAsia="宋体" w:cs="宋体"/>
          <w:kern w:val="0"/>
          <w:szCs w:val="21"/>
        </w:rPr>
        <w:t>注：本表反映部门本年度一般公共预算财政拨款、政府性基金预算财政拨款和国有资本经营预算财政拨款的总收支和年末结转结余情况。</w:t>
      </w:r>
    </w:p>
    <w:tbl>
      <w:tblPr>
        <w:tblStyle w:val="6"/>
        <w:tblW w:w="15521" w:type="dxa"/>
        <w:tblInd w:w="93" w:type="dxa"/>
        <w:tblLayout w:type="autofit"/>
        <w:tblCellMar>
          <w:top w:w="0" w:type="dxa"/>
          <w:left w:w="108" w:type="dxa"/>
          <w:bottom w:w="0" w:type="dxa"/>
          <w:right w:w="108" w:type="dxa"/>
        </w:tblCellMar>
      </w:tblPr>
      <w:tblGrid>
        <w:gridCol w:w="15521"/>
      </w:tblGrid>
      <w:tr>
        <w:tblPrEx>
          <w:tblCellMar>
            <w:top w:w="0" w:type="dxa"/>
            <w:left w:w="108" w:type="dxa"/>
            <w:bottom w:w="0" w:type="dxa"/>
            <w:right w:w="108" w:type="dxa"/>
          </w:tblCellMar>
        </w:tblPrEx>
        <w:trPr>
          <w:trHeight w:val="585" w:hRule="atLeast"/>
        </w:trPr>
        <w:tc>
          <w:tcPr>
            <w:tcW w:w="15521" w:type="dxa"/>
            <w:tcBorders>
              <w:top w:val="nil"/>
              <w:left w:val="nil"/>
              <w:bottom w:val="nil"/>
              <w:right w:val="nil"/>
            </w:tcBorders>
            <w:shd w:val="clear" w:color="auto" w:fill="auto"/>
            <w:vAlign w:val="center"/>
          </w:tcPr>
          <w:p>
            <w:pPr>
              <w:widowControl/>
              <w:jc w:val="left"/>
              <w:rPr>
                <w:rFonts w:ascii="宋体" w:hAnsi="宋体" w:eastAsia="宋体" w:cs="宋体"/>
                <w:kern w:val="0"/>
                <w:szCs w:val="21"/>
              </w:rPr>
            </w:pP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pPr>
        <w:widowControl/>
        <w:spacing w:beforeLines="50"/>
        <w:ind w:right="1260"/>
        <w:jc w:val="center"/>
        <w:rPr>
          <w:rFonts w:cs="Times New Roman" w:asciiTheme="minorEastAsia" w:hAnsiTheme="minorEastAsia"/>
          <w:color w:val="000000"/>
          <w:kern w:val="0"/>
          <w:sz w:val="20"/>
          <w:szCs w:val="20"/>
        </w:rPr>
      </w:pPr>
      <w:r>
        <w:rPr>
          <w:rFonts w:hint="eastAsia" w:ascii="Times New Roman" w:hAnsi="Times New Roman" w:eastAsia="仿宋_GB2312" w:cs="Times New Roman"/>
          <w:color w:val="000000"/>
          <w:kern w:val="0"/>
          <w:szCs w:val="21"/>
        </w:rPr>
        <w:t xml:space="preserve">                                                                                                          </w:t>
      </w:r>
      <w:r>
        <w:rPr>
          <w:rFonts w:cs="Times New Roman" w:asciiTheme="minorEastAsia" w:hAnsiTheme="minorEastAsia"/>
          <w:color w:val="000000"/>
          <w:kern w:val="0"/>
          <w:sz w:val="20"/>
          <w:szCs w:val="20"/>
        </w:rPr>
        <w:t>公开05表</w:t>
      </w:r>
    </w:p>
    <w:p>
      <w:pPr>
        <w:widowControl/>
        <w:ind w:firstLine="600" w:firstLineChars="300"/>
        <w:rPr>
          <w:rFonts w:ascii="Times New Roman" w:hAnsi="Times New Roman" w:eastAsia="宋体" w:cs="Times New Roman"/>
          <w:color w:val="000000"/>
          <w:kern w:val="0"/>
          <w:sz w:val="20"/>
          <w:szCs w:val="20"/>
        </w:rPr>
      </w:pPr>
      <w:r>
        <w:rPr>
          <w:rFonts w:hint="eastAsia"/>
          <w:color w:val="000000"/>
          <w:sz w:val="20"/>
          <w:szCs w:val="20"/>
        </w:rPr>
        <w:t>部门：</w:t>
      </w:r>
      <w:r>
        <w:rPr>
          <w:rFonts w:hint="eastAsia" w:ascii="宋体" w:hAnsi="宋体" w:eastAsia="宋体" w:cs="宋体"/>
          <w:color w:val="000000"/>
          <w:kern w:val="0"/>
          <w:sz w:val="20"/>
          <w:szCs w:val="20"/>
        </w:rPr>
        <w:t xml:space="preserve">湖南省林业科学院                                                                                                      </w:t>
      </w:r>
      <w:r>
        <w:rPr>
          <w:rFonts w:cs="Times New Roman" w:asciiTheme="minorEastAsia" w:hAnsiTheme="minorEastAsia"/>
          <w:color w:val="000000"/>
          <w:kern w:val="0"/>
          <w:sz w:val="20"/>
          <w:szCs w:val="20"/>
        </w:rPr>
        <w:t>单位：元</w:t>
      </w:r>
    </w:p>
    <w:tbl>
      <w:tblPr>
        <w:tblStyle w:val="6"/>
        <w:tblW w:w="14720" w:type="dxa"/>
        <w:jc w:val="center"/>
        <w:tblLayout w:type="autofit"/>
        <w:tblCellMar>
          <w:top w:w="0" w:type="dxa"/>
          <w:left w:w="108" w:type="dxa"/>
          <w:bottom w:w="0" w:type="dxa"/>
          <w:right w:w="108" w:type="dxa"/>
        </w:tblCellMar>
      </w:tblPr>
      <w:tblGrid>
        <w:gridCol w:w="1079"/>
        <w:gridCol w:w="6073"/>
        <w:gridCol w:w="2857"/>
        <w:gridCol w:w="2410"/>
        <w:gridCol w:w="2301"/>
      </w:tblGrid>
      <w:tr>
        <w:tblPrEx>
          <w:tblCellMar>
            <w:top w:w="0" w:type="dxa"/>
            <w:left w:w="108" w:type="dxa"/>
            <w:bottom w:w="0" w:type="dxa"/>
            <w:right w:w="108" w:type="dxa"/>
          </w:tblCellMar>
        </w:tblPrEx>
        <w:trPr>
          <w:trHeight w:val="394" w:hRule="atLeast"/>
          <w:jc w:val="center"/>
        </w:trPr>
        <w:tc>
          <w:tcPr>
            <w:tcW w:w="7152"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项目</w:t>
            </w:r>
          </w:p>
        </w:tc>
        <w:tc>
          <w:tcPr>
            <w:tcW w:w="7568"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本年支出</w:t>
            </w:r>
          </w:p>
        </w:tc>
      </w:tr>
      <w:tr>
        <w:tblPrEx>
          <w:tblCellMar>
            <w:top w:w="0" w:type="dxa"/>
            <w:left w:w="108" w:type="dxa"/>
            <w:bottom w:w="0" w:type="dxa"/>
            <w:right w:w="108" w:type="dxa"/>
          </w:tblCellMar>
        </w:tblPrEx>
        <w:trPr>
          <w:trHeight w:val="495" w:hRule="atLeast"/>
          <w:jc w:val="center"/>
        </w:trPr>
        <w:tc>
          <w:tcPr>
            <w:tcW w:w="1079"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功能分类科目编码</w:t>
            </w:r>
          </w:p>
        </w:tc>
        <w:tc>
          <w:tcPr>
            <w:tcW w:w="607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科目名称</w:t>
            </w:r>
          </w:p>
        </w:tc>
        <w:tc>
          <w:tcPr>
            <w:tcW w:w="285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小计</w:t>
            </w:r>
          </w:p>
        </w:tc>
        <w:tc>
          <w:tcPr>
            <w:tcW w:w="24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基本支出</w:t>
            </w:r>
          </w:p>
        </w:tc>
        <w:tc>
          <w:tcPr>
            <w:tcW w:w="2301"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项目支出</w:t>
            </w:r>
          </w:p>
        </w:tc>
      </w:tr>
      <w:tr>
        <w:tblPrEx>
          <w:tblCellMar>
            <w:top w:w="0" w:type="dxa"/>
            <w:left w:w="108" w:type="dxa"/>
            <w:bottom w:w="0" w:type="dxa"/>
            <w:right w:w="108" w:type="dxa"/>
          </w:tblCellMar>
        </w:tblPrEx>
        <w:trPr>
          <w:trHeight w:val="360" w:hRule="atLeast"/>
          <w:jc w:val="center"/>
        </w:trPr>
        <w:tc>
          <w:tcPr>
            <w:tcW w:w="1079"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cs="Times New Roman" w:asciiTheme="minorEastAsia" w:hAnsiTheme="minorEastAsia"/>
                <w:kern w:val="0"/>
                <w:sz w:val="20"/>
                <w:szCs w:val="20"/>
              </w:rPr>
            </w:pPr>
          </w:p>
        </w:tc>
        <w:tc>
          <w:tcPr>
            <w:tcW w:w="6073" w:type="dxa"/>
            <w:vMerge w:val="continue"/>
            <w:tcBorders>
              <w:top w:val="nil"/>
              <w:left w:val="single" w:color="auto" w:sz="4" w:space="0"/>
              <w:bottom w:val="single" w:color="auto" w:sz="4" w:space="0"/>
              <w:right w:val="single" w:color="auto" w:sz="4" w:space="0"/>
            </w:tcBorders>
            <w:vAlign w:val="center"/>
          </w:tcPr>
          <w:p>
            <w:pPr>
              <w:widowControl/>
              <w:jc w:val="left"/>
              <w:rPr>
                <w:rFonts w:cs="Times New Roman" w:asciiTheme="minorEastAsia" w:hAnsiTheme="minorEastAsia"/>
                <w:kern w:val="0"/>
                <w:sz w:val="20"/>
                <w:szCs w:val="20"/>
              </w:rPr>
            </w:pPr>
          </w:p>
        </w:tc>
        <w:tc>
          <w:tcPr>
            <w:tcW w:w="2857" w:type="dxa"/>
            <w:vMerge w:val="continue"/>
            <w:tcBorders>
              <w:top w:val="nil"/>
              <w:left w:val="single" w:color="auto" w:sz="4" w:space="0"/>
              <w:bottom w:val="single" w:color="000000" w:sz="4" w:space="0"/>
              <w:right w:val="single" w:color="auto" w:sz="4" w:space="0"/>
            </w:tcBorders>
            <w:vAlign w:val="center"/>
          </w:tcPr>
          <w:p>
            <w:pPr>
              <w:widowControl/>
              <w:jc w:val="left"/>
              <w:rPr>
                <w:rFonts w:cs="Times New Roman" w:asciiTheme="minorEastAsia" w:hAnsiTheme="minorEastAsia"/>
                <w:kern w:val="0"/>
                <w:sz w:val="20"/>
                <w:szCs w:val="20"/>
              </w:rPr>
            </w:pPr>
          </w:p>
        </w:tc>
        <w:tc>
          <w:tcPr>
            <w:tcW w:w="2410" w:type="dxa"/>
            <w:vMerge w:val="continue"/>
            <w:tcBorders>
              <w:top w:val="nil"/>
              <w:left w:val="single" w:color="auto" w:sz="4" w:space="0"/>
              <w:bottom w:val="single" w:color="000000" w:sz="4" w:space="0"/>
              <w:right w:val="single" w:color="auto" w:sz="4" w:space="0"/>
            </w:tcBorders>
            <w:vAlign w:val="center"/>
          </w:tcPr>
          <w:p>
            <w:pPr>
              <w:widowControl/>
              <w:jc w:val="left"/>
              <w:rPr>
                <w:rFonts w:cs="Times New Roman" w:asciiTheme="minorEastAsia" w:hAnsiTheme="minorEastAsia"/>
                <w:kern w:val="0"/>
                <w:sz w:val="20"/>
                <w:szCs w:val="20"/>
              </w:rPr>
            </w:pPr>
          </w:p>
        </w:tc>
        <w:tc>
          <w:tcPr>
            <w:tcW w:w="2301" w:type="dxa"/>
            <w:vMerge w:val="continue"/>
            <w:tcBorders>
              <w:top w:val="nil"/>
              <w:left w:val="single" w:color="auto" w:sz="4" w:space="0"/>
              <w:bottom w:val="single" w:color="000000" w:sz="4" w:space="0"/>
              <w:right w:val="single" w:color="auto" w:sz="8" w:space="0"/>
            </w:tcBorders>
            <w:vAlign w:val="center"/>
          </w:tcPr>
          <w:p>
            <w:pPr>
              <w:widowControl/>
              <w:jc w:val="left"/>
              <w:rPr>
                <w:rFonts w:cs="Times New Roman" w:asciiTheme="minorEastAsia" w:hAnsiTheme="minorEastAsia"/>
                <w:kern w:val="0"/>
                <w:sz w:val="20"/>
                <w:szCs w:val="20"/>
              </w:rPr>
            </w:pPr>
          </w:p>
        </w:tc>
      </w:tr>
      <w:tr>
        <w:tblPrEx>
          <w:tblCellMar>
            <w:top w:w="0" w:type="dxa"/>
            <w:left w:w="108" w:type="dxa"/>
            <w:bottom w:w="0" w:type="dxa"/>
            <w:right w:w="108" w:type="dxa"/>
          </w:tblCellMar>
        </w:tblPrEx>
        <w:trPr>
          <w:trHeight w:val="312" w:hRule="atLeast"/>
          <w:jc w:val="center"/>
        </w:trPr>
        <w:tc>
          <w:tcPr>
            <w:tcW w:w="1079"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cs="Times New Roman" w:asciiTheme="minorEastAsia" w:hAnsiTheme="minorEastAsia"/>
                <w:kern w:val="0"/>
                <w:sz w:val="20"/>
                <w:szCs w:val="20"/>
              </w:rPr>
            </w:pPr>
          </w:p>
        </w:tc>
        <w:tc>
          <w:tcPr>
            <w:tcW w:w="6073" w:type="dxa"/>
            <w:vMerge w:val="continue"/>
            <w:tcBorders>
              <w:top w:val="nil"/>
              <w:left w:val="single" w:color="auto" w:sz="4" w:space="0"/>
              <w:bottom w:val="single" w:color="auto" w:sz="4" w:space="0"/>
              <w:right w:val="single" w:color="auto" w:sz="4" w:space="0"/>
            </w:tcBorders>
            <w:vAlign w:val="center"/>
          </w:tcPr>
          <w:p>
            <w:pPr>
              <w:widowControl/>
              <w:jc w:val="left"/>
              <w:rPr>
                <w:rFonts w:cs="Times New Roman" w:asciiTheme="minorEastAsia" w:hAnsiTheme="minorEastAsia"/>
                <w:kern w:val="0"/>
                <w:sz w:val="20"/>
                <w:szCs w:val="20"/>
              </w:rPr>
            </w:pPr>
          </w:p>
        </w:tc>
        <w:tc>
          <w:tcPr>
            <w:tcW w:w="2857" w:type="dxa"/>
            <w:vMerge w:val="continue"/>
            <w:tcBorders>
              <w:top w:val="nil"/>
              <w:left w:val="single" w:color="auto" w:sz="4" w:space="0"/>
              <w:bottom w:val="single" w:color="000000" w:sz="4" w:space="0"/>
              <w:right w:val="single" w:color="auto" w:sz="4" w:space="0"/>
            </w:tcBorders>
            <w:vAlign w:val="center"/>
          </w:tcPr>
          <w:p>
            <w:pPr>
              <w:widowControl/>
              <w:jc w:val="left"/>
              <w:rPr>
                <w:rFonts w:cs="Times New Roman" w:asciiTheme="minorEastAsia" w:hAnsiTheme="minorEastAsia"/>
                <w:kern w:val="0"/>
                <w:sz w:val="20"/>
                <w:szCs w:val="20"/>
              </w:rPr>
            </w:pPr>
          </w:p>
        </w:tc>
        <w:tc>
          <w:tcPr>
            <w:tcW w:w="2410" w:type="dxa"/>
            <w:vMerge w:val="continue"/>
            <w:tcBorders>
              <w:top w:val="nil"/>
              <w:left w:val="single" w:color="auto" w:sz="4" w:space="0"/>
              <w:bottom w:val="single" w:color="000000" w:sz="4" w:space="0"/>
              <w:right w:val="single" w:color="auto" w:sz="4" w:space="0"/>
            </w:tcBorders>
            <w:vAlign w:val="center"/>
          </w:tcPr>
          <w:p>
            <w:pPr>
              <w:widowControl/>
              <w:jc w:val="left"/>
              <w:rPr>
                <w:rFonts w:cs="Times New Roman" w:asciiTheme="minorEastAsia" w:hAnsiTheme="minorEastAsia"/>
                <w:kern w:val="0"/>
                <w:sz w:val="20"/>
                <w:szCs w:val="20"/>
              </w:rPr>
            </w:pPr>
          </w:p>
        </w:tc>
        <w:tc>
          <w:tcPr>
            <w:tcW w:w="2301" w:type="dxa"/>
            <w:vMerge w:val="continue"/>
            <w:tcBorders>
              <w:top w:val="nil"/>
              <w:left w:val="single" w:color="auto" w:sz="4" w:space="0"/>
              <w:bottom w:val="single" w:color="000000" w:sz="4" w:space="0"/>
              <w:right w:val="single" w:color="auto" w:sz="8" w:space="0"/>
            </w:tcBorders>
            <w:vAlign w:val="center"/>
          </w:tcPr>
          <w:p>
            <w:pPr>
              <w:widowControl/>
              <w:jc w:val="left"/>
              <w:rPr>
                <w:rFonts w:cs="Times New Roman" w:asciiTheme="minorEastAsia" w:hAnsiTheme="minorEastAsia"/>
                <w:kern w:val="0"/>
                <w:sz w:val="20"/>
                <w:szCs w:val="20"/>
              </w:rPr>
            </w:pPr>
          </w:p>
        </w:tc>
      </w:tr>
      <w:tr>
        <w:tblPrEx>
          <w:tblCellMar>
            <w:top w:w="0" w:type="dxa"/>
            <w:left w:w="108" w:type="dxa"/>
            <w:bottom w:w="0" w:type="dxa"/>
            <w:right w:w="108" w:type="dxa"/>
          </w:tblCellMar>
        </w:tblPrEx>
        <w:trPr>
          <w:trHeight w:val="488" w:hRule="atLeast"/>
          <w:jc w:val="center"/>
        </w:trPr>
        <w:tc>
          <w:tcPr>
            <w:tcW w:w="7152"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栏次</w:t>
            </w:r>
          </w:p>
        </w:tc>
        <w:tc>
          <w:tcPr>
            <w:tcW w:w="2857"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1</w:t>
            </w: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2</w:t>
            </w:r>
          </w:p>
        </w:tc>
        <w:tc>
          <w:tcPr>
            <w:tcW w:w="2301" w:type="dxa"/>
            <w:tcBorders>
              <w:top w:val="nil"/>
              <w:left w:val="nil"/>
              <w:bottom w:val="single" w:color="auto" w:sz="4" w:space="0"/>
              <w:right w:val="single" w:color="auto" w:sz="8"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3</w:t>
            </w:r>
          </w:p>
        </w:tc>
      </w:tr>
      <w:tr>
        <w:tblPrEx>
          <w:tblCellMar>
            <w:top w:w="0" w:type="dxa"/>
            <w:left w:w="108" w:type="dxa"/>
            <w:bottom w:w="0" w:type="dxa"/>
            <w:right w:w="108" w:type="dxa"/>
          </w:tblCellMar>
        </w:tblPrEx>
        <w:trPr>
          <w:trHeight w:val="482" w:hRule="atLeast"/>
          <w:jc w:val="center"/>
        </w:trPr>
        <w:tc>
          <w:tcPr>
            <w:tcW w:w="7152"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cs="Times New Roman" w:asciiTheme="minorEastAsia" w:hAnsiTheme="minorEastAsia"/>
                <w:kern w:val="0"/>
                <w:sz w:val="20"/>
                <w:szCs w:val="20"/>
              </w:rPr>
            </w:pPr>
            <w:r>
              <w:rPr>
                <w:rFonts w:cs="Times New Roman" w:asciiTheme="minorEastAsia" w:hAnsiTheme="minorEastAsia"/>
                <w:kern w:val="0"/>
                <w:sz w:val="20"/>
                <w:szCs w:val="20"/>
              </w:rPr>
              <w:t>合计</w:t>
            </w:r>
          </w:p>
        </w:tc>
        <w:tc>
          <w:tcPr>
            <w:tcW w:w="2857"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80,143,581.73</w:t>
            </w:r>
          </w:p>
        </w:tc>
        <w:tc>
          <w:tcPr>
            <w:tcW w:w="2410"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35,894,812.00</w:t>
            </w:r>
          </w:p>
        </w:tc>
        <w:tc>
          <w:tcPr>
            <w:tcW w:w="2301" w:type="dxa"/>
            <w:tcBorders>
              <w:top w:val="nil"/>
              <w:left w:val="nil"/>
              <w:bottom w:val="single" w:color="auto" w:sz="4"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44,248,769.73</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4"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201</w:t>
            </w:r>
          </w:p>
        </w:tc>
        <w:tc>
          <w:tcPr>
            <w:tcW w:w="6073" w:type="dxa"/>
            <w:tcBorders>
              <w:top w:val="nil"/>
              <w:left w:val="nil"/>
              <w:bottom w:val="single" w:color="auto" w:sz="4"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一般公共服务支出</w:t>
            </w:r>
          </w:p>
        </w:tc>
        <w:tc>
          <w:tcPr>
            <w:tcW w:w="2857"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77,894.90</w:t>
            </w:r>
          </w:p>
        </w:tc>
        <w:tc>
          <w:tcPr>
            <w:tcW w:w="2410"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301" w:type="dxa"/>
            <w:tcBorders>
              <w:top w:val="nil"/>
              <w:left w:val="nil"/>
              <w:bottom w:val="single" w:color="auto" w:sz="4"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77,894.90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4"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20138</w:t>
            </w:r>
          </w:p>
        </w:tc>
        <w:tc>
          <w:tcPr>
            <w:tcW w:w="6073" w:type="dxa"/>
            <w:tcBorders>
              <w:top w:val="nil"/>
              <w:left w:val="nil"/>
              <w:bottom w:val="single" w:color="auto" w:sz="4"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市场监督管理事务</w:t>
            </w:r>
          </w:p>
        </w:tc>
        <w:tc>
          <w:tcPr>
            <w:tcW w:w="2857"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77,894.90</w:t>
            </w:r>
          </w:p>
        </w:tc>
        <w:tc>
          <w:tcPr>
            <w:tcW w:w="2410"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301" w:type="dxa"/>
            <w:tcBorders>
              <w:top w:val="nil"/>
              <w:left w:val="nil"/>
              <w:bottom w:val="single" w:color="auto" w:sz="4"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77,894.90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4"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2013810</w:t>
            </w:r>
          </w:p>
        </w:tc>
        <w:tc>
          <w:tcPr>
            <w:tcW w:w="6073" w:type="dxa"/>
            <w:tcBorders>
              <w:top w:val="nil"/>
              <w:left w:val="nil"/>
              <w:bottom w:val="single" w:color="auto" w:sz="4"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质量基础</w:t>
            </w:r>
          </w:p>
        </w:tc>
        <w:tc>
          <w:tcPr>
            <w:tcW w:w="2857"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77,894.90</w:t>
            </w:r>
          </w:p>
        </w:tc>
        <w:tc>
          <w:tcPr>
            <w:tcW w:w="2410"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4"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77,894.90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4"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206</w:t>
            </w:r>
          </w:p>
        </w:tc>
        <w:tc>
          <w:tcPr>
            <w:tcW w:w="6073" w:type="dxa"/>
            <w:tcBorders>
              <w:top w:val="nil"/>
              <w:left w:val="nil"/>
              <w:bottom w:val="single" w:color="auto" w:sz="4"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科学技术支出</w:t>
            </w:r>
          </w:p>
        </w:tc>
        <w:tc>
          <w:tcPr>
            <w:tcW w:w="2857"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37,769,309.30</w:t>
            </w:r>
          </w:p>
        </w:tc>
        <w:tc>
          <w:tcPr>
            <w:tcW w:w="2410"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27,287,412.00</w:t>
            </w:r>
          </w:p>
        </w:tc>
        <w:tc>
          <w:tcPr>
            <w:tcW w:w="2301" w:type="dxa"/>
            <w:tcBorders>
              <w:top w:val="nil"/>
              <w:left w:val="nil"/>
              <w:bottom w:val="single" w:color="auto" w:sz="4"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10,481,897.30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4"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20602</w:t>
            </w:r>
          </w:p>
        </w:tc>
        <w:tc>
          <w:tcPr>
            <w:tcW w:w="6073" w:type="dxa"/>
            <w:tcBorders>
              <w:top w:val="nil"/>
              <w:left w:val="nil"/>
              <w:bottom w:val="single" w:color="auto" w:sz="4"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基础研究</w:t>
            </w:r>
          </w:p>
        </w:tc>
        <w:tc>
          <w:tcPr>
            <w:tcW w:w="2857"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3,156,173.90</w:t>
            </w:r>
          </w:p>
        </w:tc>
        <w:tc>
          <w:tcPr>
            <w:tcW w:w="2410"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301" w:type="dxa"/>
            <w:tcBorders>
              <w:top w:val="nil"/>
              <w:left w:val="nil"/>
              <w:bottom w:val="single" w:color="auto" w:sz="4"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3,156,173.90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2060203</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自然科学基金</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175,116.90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175,116.90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2060204</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实验室及相关设施</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2,981,057.00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2,981,057.00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20603</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应用研究</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27,487,412.00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27,287,412.00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200,000.00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2060301</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机构运行</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27,287,412.00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27,287,412.00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2060302</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社会公益研究</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4"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2060303</w:t>
            </w:r>
          </w:p>
        </w:tc>
        <w:tc>
          <w:tcPr>
            <w:tcW w:w="6073" w:type="dxa"/>
            <w:tcBorders>
              <w:top w:val="nil"/>
              <w:left w:val="nil"/>
              <w:bottom w:val="single" w:color="auto" w:sz="4"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高技术研究</w:t>
            </w:r>
          </w:p>
        </w:tc>
        <w:tc>
          <w:tcPr>
            <w:tcW w:w="2857"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200,000.00</w:t>
            </w:r>
          </w:p>
        </w:tc>
        <w:tc>
          <w:tcPr>
            <w:tcW w:w="2410"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4"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200,000.00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4"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20605</w:t>
            </w:r>
          </w:p>
        </w:tc>
        <w:tc>
          <w:tcPr>
            <w:tcW w:w="6073" w:type="dxa"/>
            <w:tcBorders>
              <w:top w:val="single" w:color="auto" w:sz="4" w:space="0"/>
              <w:left w:val="nil"/>
              <w:bottom w:val="single" w:color="auto" w:sz="4"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科技条件与服务</w:t>
            </w:r>
          </w:p>
        </w:tc>
        <w:tc>
          <w:tcPr>
            <w:tcW w:w="2857" w:type="dxa"/>
            <w:tcBorders>
              <w:top w:val="single" w:color="auto" w:sz="4" w:space="0"/>
              <w:left w:val="nil"/>
              <w:bottom w:val="single" w:color="auto" w:sz="4"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5,945,309.00</w:t>
            </w:r>
          </w:p>
        </w:tc>
        <w:tc>
          <w:tcPr>
            <w:tcW w:w="2410" w:type="dxa"/>
            <w:tcBorders>
              <w:top w:val="single" w:color="auto" w:sz="4" w:space="0"/>
              <w:left w:val="nil"/>
              <w:bottom w:val="single" w:color="auto" w:sz="4"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301" w:type="dxa"/>
            <w:tcBorders>
              <w:top w:val="single" w:color="auto" w:sz="4" w:space="0"/>
              <w:left w:val="nil"/>
              <w:bottom w:val="single" w:color="auto" w:sz="4"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5,945,309.00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2060503</w:t>
            </w:r>
          </w:p>
        </w:tc>
        <w:tc>
          <w:tcPr>
            <w:tcW w:w="6073" w:type="dxa"/>
            <w:tcBorders>
              <w:top w:val="single" w:color="auto" w:sz="4" w:space="0"/>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科技条件专项</w:t>
            </w:r>
          </w:p>
        </w:tc>
        <w:tc>
          <w:tcPr>
            <w:tcW w:w="2857" w:type="dxa"/>
            <w:tcBorders>
              <w:top w:val="single" w:color="auto" w:sz="4" w:space="0"/>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4,944,396.00</w:t>
            </w:r>
          </w:p>
        </w:tc>
        <w:tc>
          <w:tcPr>
            <w:tcW w:w="2410" w:type="dxa"/>
            <w:tcBorders>
              <w:top w:val="single" w:color="auto" w:sz="4" w:space="0"/>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single" w:color="auto" w:sz="4" w:space="0"/>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4,944,396.00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2060599</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其他科技条件与服务支出</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1,000,913.00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1,000,913.00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20607</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科学技术普及</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130,414.40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130,414.40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2060704</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学术交流活动</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130,414.40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130,414.40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20609</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科技重大项目</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1,000,000.00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1,000,000.00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2060902</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重点研发计划</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1,000,000.00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1,000,000.00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20699</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其他科学技术支出</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50,000.00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50,000.00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2069901</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科技奖励</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50,000.00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50,000.00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208</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社会保障和就业支出</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5,307,400.00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5,307,400.00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20801</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人力资源和社会保障管理事务</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2080115</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博士后日常经费</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20805</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行政事业单位养老支出</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5,307,400.00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5,307,400.00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2080502</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事业单位离退休</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7,400.00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7,400.00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2080505</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机关事业单位基本养老保险缴费支出</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3,500,000.00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3,500,000.00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2080506</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机关事业单位职业年金缴费支出</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1,800,000.00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1,800,000.00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211</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节能环保支出</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50,000.00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50,000.00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21105</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天然林保护</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50,000.00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50,000.00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2110507</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停伐补助</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50,000.00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50,000.00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213</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农林水支出</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33,397,547.39</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33,397,547.39</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21301</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农业农村</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1,453,658.49</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1,453,658.49</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2130105</w:t>
            </w:r>
          </w:p>
        </w:tc>
        <w:tc>
          <w:tcPr>
            <w:tcW w:w="6073" w:type="dxa"/>
            <w:tcBorders>
              <w:top w:val="nil"/>
              <w:left w:val="nil"/>
              <w:bottom w:val="single" w:color="auto" w:sz="4"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农垦运行</w:t>
            </w:r>
          </w:p>
        </w:tc>
        <w:tc>
          <w:tcPr>
            <w:tcW w:w="2857"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756,051.74</w:t>
            </w:r>
          </w:p>
        </w:tc>
        <w:tc>
          <w:tcPr>
            <w:tcW w:w="2410"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4"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756,051.74</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2130108</w:t>
            </w:r>
          </w:p>
        </w:tc>
        <w:tc>
          <w:tcPr>
            <w:tcW w:w="6073" w:type="dxa"/>
            <w:tcBorders>
              <w:top w:val="single" w:color="auto" w:sz="4" w:space="0"/>
              <w:left w:val="nil"/>
              <w:bottom w:val="single" w:color="auto" w:sz="4"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病虫害控制</w:t>
            </w:r>
          </w:p>
        </w:tc>
        <w:tc>
          <w:tcPr>
            <w:tcW w:w="2857" w:type="dxa"/>
            <w:tcBorders>
              <w:top w:val="single" w:color="auto" w:sz="4" w:space="0"/>
              <w:left w:val="nil"/>
              <w:bottom w:val="single" w:color="auto" w:sz="4"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606,751.13</w:t>
            </w:r>
          </w:p>
        </w:tc>
        <w:tc>
          <w:tcPr>
            <w:tcW w:w="2410" w:type="dxa"/>
            <w:tcBorders>
              <w:top w:val="single" w:color="auto" w:sz="4" w:space="0"/>
              <w:left w:val="nil"/>
              <w:bottom w:val="single" w:color="auto" w:sz="4"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single" w:color="auto" w:sz="4" w:space="0"/>
              <w:left w:val="nil"/>
              <w:bottom w:val="single" w:color="auto" w:sz="4"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606,751.13</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2130122</w:t>
            </w:r>
          </w:p>
        </w:tc>
        <w:tc>
          <w:tcPr>
            <w:tcW w:w="6073" w:type="dxa"/>
            <w:tcBorders>
              <w:top w:val="single" w:color="auto" w:sz="4" w:space="0"/>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农业生产发展</w:t>
            </w:r>
          </w:p>
        </w:tc>
        <w:tc>
          <w:tcPr>
            <w:tcW w:w="2857" w:type="dxa"/>
            <w:tcBorders>
              <w:top w:val="single" w:color="auto" w:sz="4" w:space="0"/>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34,799.40</w:t>
            </w:r>
          </w:p>
        </w:tc>
        <w:tc>
          <w:tcPr>
            <w:tcW w:w="2410" w:type="dxa"/>
            <w:tcBorders>
              <w:top w:val="single" w:color="auto" w:sz="4" w:space="0"/>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single" w:color="auto" w:sz="4" w:space="0"/>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34,799.40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2130199</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其他农业农村支出</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56,056.22</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56,056.22</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21302</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林业和草原</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31,931,704.90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31,931,704.90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2130205</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森林资源培育</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450,506.10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450,506.10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2130206</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技术推广与转化</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4,023,797.78</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4,023,797.78</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2130209</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森林生态效益补偿</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2,643,566.60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2,643,566.60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2130210</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自然保护区等管理</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2,033,891.00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2,033,891.00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2130211</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动植物保护</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3,808,152.88</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3,808,152.88</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2130212</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湿地保护</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794,923.00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794,923.00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2130220</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对外合作与交流</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81,136.50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81,136.50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2130221</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产业化管理</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1,844,224.87</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1,844,224.87</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2130234</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林业草原防灾减灾</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1,466,519.50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1,466,519.50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2130299</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其他林业和草原支出</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14,784,986.67</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14,784,986.67</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21399</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其他农林水支出</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12,184.00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12,184.00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2139999</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其他农林水支出</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12,184.00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12,184.00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214</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交通运输支出</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241,430.14</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241,430.14</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21401</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公路水路运输</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241,430.14</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241,430.14</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2140106</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公路养护</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241,430.14</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241,430.14</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221</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住房保障支出</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3,300,000.00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3,300,000.00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22102</w:t>
            </w:r>
          </w:p>
        </w:tc>
        <w:tc>
          <w:tcPr>
            <w:tcW w:w="6073" w:type="dxa"/>
            <w:tcBorders>
              <w:top w:val="nil"/>
              <w:left w:val="nil"/>
              <w:bottom w:val="single" w:color="auto" w:sz="8" w:space="0"/>
              <w:right w:val="single" w:color="auto" w:sz="4" w:space="0"/>
            </w:tcBorders>
            <w:shd w:val="clear" w:color="auto" w:fill="auto"/>
            <w:vAlign w:val="center"/>
          </w:tcPr>
          <w:p>
            <w:pPr>
              <w:rPr>
                <w:rFonts w:cs="Arial" w:asciiTheme="minorEastAsia" w:hAnsiTheme="minorEastAsia"/>
                <w:bCs/>
                <w:sz w:val="20"/>
                <w:szCs w:val="20"/>
              </w:rPr>
            </w:pPr>
            <w:r>
              <w:rPr>
                <w:rFonts w:hint="eastAsia" w:cs="Arial" w:asciiTheme="minorEastAsia" w:hAnsiTheme="minorEastAsia"/>
                <w:bCs/>
                <w:sz w:val="20"/>
                <w:szCs w:val="20"/>
              </w:rPr>
              <w:t>住房改革支出</w:t>
            </w:r>
          </w:p>
        </w:tc>
        <w:tc>
          <w:tcPr>
            <w:tcW w:w="2857"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3,300,000.00</w:t>
            </w:r>
          </w:p>
        </w:tc>
        <w:tc>
          <w:tcPr>
            <w:tcW w:w="2410" w:type="dxa"/>
            <w:tcBorders>
              <w:top w:val="nil"/>
              <w:left w:val="nil"/>
              <w:bottom w:val="single" w:color="auto" w:sz="8" w:space="0"/>
              <w:right w:val="single" w:color="auto" w:sz="4"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3,300,000.00</w:t>
            </w:r>
          </w:p>
        </w:tc>
        <w:tc>
          <w:tcPr>
            <w:tcW w:w="2301" w:type="dxa"/>
            <w:tcBorders>
              <w:top w:val="nil"/>
              <w:left w:val="nil"/>
              <w:bottom w:val="single" w:color="auto" w:sz="8" w:space="0"/>
              <w:right w:val="single" w:color="auto" w:sz="8" w:space="0"/>
            </w:tcBorders>
            <w:shd w:val="clear" w:color="auto" w:fill="auto"/>
            <w:vAlign w:val="center"/>
          </w:tcPr>
          <w:p>
            <w:pPr>
              <w:jc w:val="right"/>
              <w:rPr>
                <w:rFonts w:cs="Arial" w:asciiTheme="minorEastAsia" w:hAnsiTheme="minorEastAsia"/>
                <w:bCs/>
                <w:sz w:val="20"/>
                <w:szCs w:val="20"/>
              </w:rPr>
            </w:pPr>
            <w:r>
              <w:rPr>
                <w:rFonts w:hint="eastAsia" w:cs="Arial" w:asciiTheme="minorEastAsia" w:hAnsiTheme="minorEastAsia"/>
                <w:bCs/>
                <w:sz w:val="20"/>
                <w:szCs w:val="20"/>
              </w:rPr>
              <w:t>0.00</w:t>
            </w:r>
          </w:p>
        </w:tc>
      </w:tr>
      <w:tr>
        <w:tblPrEx>
          <w:tblCellMar>
            <w:top w:w="0" w:type="dxa"/>
            <w:left w:w="108" w:type="dxa"/>
            <w:bottom w:w="0" w:type="dxa"/>
            <w:right w:w="108" w:type="dxa"/>
          </w:tblCellMar>
        </w:tblPrEx>
        <w:trPr>
          <w:trHeight w:val="450" w:hRule="atLeast"/>
          <w:jc w:val="center"/>
        </w:trPr>
        <w:tc>
          <w:tcPr>
            <w:tcW w:w="1079" w:type="dxa"/>
            <w:tcBorders>
              <w:top w:val="single" w:color="auto" w:sz="4" w:space="0"/>
              <w:left w:val="single" w:color="auto" w:sz="8" w:space="0"/>
              <w:bottom w:val="single" w:color="auto" w:sz="8"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2210201</w:t>
            </w:r>
          </w:p>
        </w:tc>
        <w:tc>
          <w:tcPr>
            <w:tcW w:w="6073" w:type="dxa"/>
            <w:tcBorders>
              <w:top w:val="nil"/>
              <w:left w:val="nil"/>
              <w:bottom w:val="single" w:color="auto" w:sz="4" w:space="0"/>
              <w:right w:val="single" w:color="auto" w:sz="4" w:space="0"/>
            </w:tcBorders>
            <w:shd w:val="clear" w:color="auto" w:fill="auto"/>
            <w:vAlign w:val="center"/>
          </w:tcPr>
          <w:p>
            <w:pPr>
              <w:rPr>
                <w:rFonts w:cs="Arial" w:asciiTheme="minorEastAsia" w:hAnsiTheme="minorEastAsia"/>
                <w:sz w:val="20"/>
                <w:szCs w:val="20"/>
              </w:rPr>
            </w:pPr>
            <w:r>
              <w:rPr>
                <w:rFonts w:hint="eastAsia" w:cs="Arial" w:asciiTheme="minorEastAsia" w:hAnsiTheme="minorEastAsia"/>
                <w:sz w:val="20"/>
                <w:szCs w:val="20"/>
              </w:rPr>
              <w:t xml:space="preserve">  住房公积金</w:t>
            </w:r>
          </w:p>
        </w:tc>
        <w:tc>
          <w:tcPr>
            <w:tcW w:w="2857"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3,300,000.00</w:t>
            </w:r>
          </w:p>
        </w:tc>
        <w:tc>
          <w:tcPr>
            <w:tcW w:w="2410" w:type="dxa"/>
            <w:tcBorders>
              <w:top w:val="nil"/>
              <w:left w:val="nil"/>
              <w:bottom w:val="single" w:color="auto" w:sz="4" w:space="0"/>
              <w:right w:val="single" w:color="auto" w:sz="4"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3,300,000.00</w:t>
            </w:r>
          </w:p>
        </w:tc>
        <w:tc>
          <w:tcPr>
            <w:tcW w:w="2301" w:type="dxa"/>
            <w:tcBorders>
              <w:top w:val="nil"/>
              <w:left w:val="nil"/>
              <w:bottom w:val="single" w:color="auto" w:sz="4" w:space="0"/>
              <w:right w:val="single" w:color="auto" w:sz="8" w:space="0"/>
            </w:tcBorders>
            <w:shd w:val="clear" w:color="auto" w:fill="auto"/>
            <w:vAlign w:val="center"/>
          </w:tcPr>
          <w:p>
            <w:pPr>
              <w:jc w:val="right"/>
              <w:rPr>
                <w:rFonts w:cs="Arial" w:asciiTheme="minorEastAsia" w:hAnsiTheme="minorEastAsia"/>
                <w:sz w:val="20"/>
                <w:szCs w:val="20"/>
              </w:rPr>
            </w:pPr>
            <w:r>
              <w:rPr>
                <w:rFonts w:hint="eastAsia" w:cs="Arial" w:asciiTheme="minorEastAsia" w:hAnsiTheme="minorEastAsia"/>
                <w:sz w:val="20"/>
                <w:szCs w:val="20"/>
              </w:rPr>
              <w:t>0.00</w:t>
            </w:r>
          </w:p>
        </w:tc>
      </w:tr>
      <w:tr>
        <w:tblPrEx>
          <w:tblCellMar>
            <w:top w:w="0" w:type="dxa"/>
            <w:left w:w="108" w:type="dxa"/>
            <w:bottom w:w="0" w:type="dxa"/>
            <w:right w:w="108" w:type="dxa"/>
          </w:tblCellMar>
        </w:tblPrEx>
        <w:trPr>
          <w:trHeight w:val="645" w:hRule="atLeast"/>
          <w:jc w:val="center"/>
        </w:trPr>
        <w:tc>
          <w:tcPr>
            <w:tcW w:w="14720" w:type="dxa"/>
            <w:gridSpan w:val="5"/>
            <w:tcBorders>
              <w:top w:val="nil"/>
              <w:left w:val="nil"/>
              <w:bottom w:val="nil"/>
              <w:right w:val="nil"/>
            </w:tcBorders>
            <w:shd w:val="clear" w:color="auto" w:fill="auto"/>
            <w:vAlign w:val="center"/>
          </w:tcPr>
          <w:p>
            <w:pPr>
              <w:widowControl/>
              <w:tabs>
                <w:tab w:val="left" w:pos="1251"/>
              </w:tabs>
              <w:jc w:val="left"/>
              <w:rPr>
                <w:rFonts w:cs="Times New Roman" w:asciiTheme="minorEastAsia" w:hAnsiTheme="minorEastAsia"/>
                <w:kern w:val="0"/>
                <w:szCs w:val="21"/>
              </w:rPr>
            </w:pPr>
            <w:r>
              <w:rPr>
                <w:rFonts w:cs="Times New Roman" w:asciiTheme="minorEastAsia" w:hAnsiTheme="minorEastAsia"/>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tbl>
      <w:tblPr>
        <w:tblStyle w:val="6"/>
        <w:tblW w:w="0" w:type="auto"/>
        <w:tblInd w:w="0" w:type="dxa"/>
        <w:tblLayout w:type="fixed"/>
        <w:tblCellMar>
          <w:top w:w="0" w:type="dxa"/>
          <w:left w:w="108" w:type="dxa"/>
          <w:bottom w:w="0" w:type="dxa"/>
          <w:right w:w="108" w:type="dxa"/>
        </w:tblCellMar>
      </w:tblPr>
      <w:tblGrid>
        <w:gridCol w:w="1101"/>
        <w:gridCol w:w="2693"/>
        <w:gridCol w:w="1417"/>
        <w:gridCol w:w="1134"/>
        <w:gridCol w:w="2410"/>
        <w:gridCol w:w="1276"/>
        <w:gridCol w:w="1134"/>
        <w:gridCol w:w="3191"/>
        <w:gridCol w:w="1258"/>
      </w:tblGrid>
      <w:tr>
        <w:tblPrEx>
          <w:tblCellMar>
            <w:top w:w="0" w:type="dxa"/>
            <w:left w:w="108" w:type="dxa"/>
            <w:bottom w:w="0" w:type="dxa"/>
            <w:right w:w="108" w:type="dxa"/>
          </w:tblCellMar>
        </w:tblPrEx>
        <w:trPr>
          <w:trHeight w:val="1113" w:hRule="atLeast"/>
        </w:trPr>
        <w:tc>
          <w:tcPr>
            <w:tcW w:w="15614" w:type="dxa"/>
            <w:gridSpan w:val="9"/>
            <w:tcBorders>
              <w:top w:val="nil"/>
              <w:left w:val="nil"/>
              <w:bottom w:val="nil"/>
              <w:right w:val="nil"/>
            </w:tcBorders>
            <w:shd w:val="clear" w:color="auto" w:fill="auto"/>
            <w:noWrap/>
            <w:vAlign w:val="center"/>
          </w:tcPr>
          <w:p>
            <w:pPr>
              <w:widowControl/>
              <w:jc w:val="center"/>
              <w:rPr>
                <w:rFonts w:ascii="Times New Roman" w:hAnsi="Times New Roman" w:eastAsia="方正小标宋_GBK" w:cs="Times New Roman"/>
                <w:color w:val="000000"/>
                <w:kern w:val="0"/>
                <w:sz w:val="28"/>
                <w:szCs w:val="28"/>
              </w:rPr>
            </w:pPr>
            <w:bookmarkStart w:id="2" w:name="RANGE!A1:I34"/>
            <w:r>
              <w:rPr>
                <w:rFonts w:hint="eastAsia" w:ascii="Times New Roman" w:hAnsi="Times New Roman" w:eastAsia="方正小标宋_GBK" w:cs="Times New Roman"/>
                <w:color w:val="000000"/>
                <w:kern w:val="0"/>
                <w:sz w:val="28"/>
                <w:szCs w:val="28"/>
              </w:rPr>
              <w:t>一般公共预算财政拨款基本支出决算表</w:t>
            </w:r>
            <w:bookmarkEnd w:id="2"/>
          </w:p>
          <w:p>
            <w:pPr>
              <w:widowControl/>
              <w:wordWrap w:val="0"/>
              <w:ind w:right="800"/>
              <w:jc w:val="center"/>
              <w:rPr>
                <w:rFonts w:asciiTheme="minorEastAsia" w:hAnsiTheme="minorEastAsia" w:cstheme="minorEastAsia"/>
                <w:color w:val="000000"/>
                <w:kern w:val="0"/>
                <w:sz w:val="20"/>
                <w:szCs w:val="20"/>
              </w:rPr>
            </w:pPr>
            <w:r>
              <w:rPr>
                <w:rFonts w:hint="eastAsia" w:asciiTheme="minorEastAsia" w:hAnsiTheme="minorEastAsia" w:cstheme="minorEastAsia"/>
                <w:color w:val="000000"/>
                <w:kern w:val="0"/>
                <w:sz w:val="20"/>
                <w:szCs w:val="20"/>
              </w:rPr>
              <w:t xml:space="preserve">                                                                                                                                 公开06表</w:t>
            </w:r>
          </w:p>
          <w:p>
            <w:pPr>
              <w:widowControl/>
              <w:jc w:val="left"/>
              <w:rPr>
                <w:rFonts w:ascii="华文中宋" w:hAnsi="华文中宋" w:eastAsia="华文中宋" w:cs="宋体"/>
                <w:color w:val="000000"/>
                <w:kern w:val="0"/>
                <w:szCs w:val="32"/>
              </w:rPr>
            </w:pPr>
            <w:r>
              <w:rPr>
                <w:rFonts w:hint="eastAsia" w:asciiTheme="minorEastAsia" w:hAnsiTheme="minorEastAsia" w:cstheme="minorEastAsia"/>
                <w:color w:val="000000"/>
                <w:sz w:val="20"/>
                <w:szCs w:val="20"/>
              </w:rPr>
              <w:t>部门：</w:t>
            </w:r>
            <w:r>
              <w:rPr>
                <w:rFonts w:hint="eastAsia" w:asciiTheme="minorEastAsia" w:hAnsiTheme="minorEastAsia" w:cstheme="minorEastAsia"/>
                <w:color w:val="000000"/>
                <w:kern w:val="0"/>
                <w:sz w:val="20"/>
                <w:szCs w:val="20"/>
              </w:rPr>
              <w:t>湖南省林业科学院                                                                                                                  单位：元</w:t>
            </w:r>
          </w:p>
        </w:tc>
      </w:tr>
      <w:tr>
        <w:tblPrEx>
          <w:tblCellMar>
            <w:top w:w="0" w:type="dxa"/>
            <w:left w:w="108" w:type="dxa"/>
            <w:bottom w:w="0" w:type="dxa"/>
            <w:right w:w="108" w:type="dxa"/>
          </w:tblCellMar>
        </w:tblPrEx>
        <w:trPr>
          <w:trHeight w:val="440" w:hRule="atLeast"/>
        </w:trPr>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经济分类科目编码</w:t>
            </w:r>
          </w:p>
        </w:tc>
        <w:tc>
          <w:tcPr>
            <w:tcW w:w="269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科目名称</w:t>
            </w:r>
          </w:p>
        </w:tc>
        <w:tc>
          <w:tcPr>
            <w:tcW w:w="14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决算数</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经济分类科目编码</w:t>
            </w:r>
          </w:p>
        </w:tc>
        <w:tc>
          <w:tcPr>
            <w:tcW w:w="24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科目名称</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决算数</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经济分类科目编码</w:t>
            </w:r>
          </w:p>
        </w:tc>
        <w:tc>
          <w:tcPr>
            <w:tcW w:w="31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科目名称</w:t>
            </w:r>
          </w:p>
        </w:tc>
        <w:tc>
          <w:tcPr>
            <w:tcW w:w="12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决算数</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301</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工资福利支出</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33,494,495.39</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商品和服务支出</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307</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债务利息及费用支出</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30101</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基本工资</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10,423,512.00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30201</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办公费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30701</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国内债务付息</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30102</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津贴补贴</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2,166,811.06</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30202</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印刷费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30702</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国外债务付息</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30103</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奖金</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2,773,356.38</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30203</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咨询费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资本性支出</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30106</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伙食补助费</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30204</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手续费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31001</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房屋建筑物购建</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30107</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绩效工资</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7,587,634.90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30205</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水费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31002</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办公设备购置</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30108</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机关事业单位基本养老保险缴费</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2,950,894.08</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30206</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电费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31003</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专用设备购置</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30109</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职业年金缴费</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1,599,198.06</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30207</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邮电费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31005</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基础设施建设</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30110</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职工基本医疗保险缴费</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1,947,443.23</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30208</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取暖费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31006</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大型修缮</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30111</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公务员医疗补助缴费</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30209</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物业管理费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31007</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信息网络及软件购置更新</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30112</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其他社会保障缴费</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247,919.61</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30211</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差旅费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31008</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物资储备</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30113</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住房公积金</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3,300,000.00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30212</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因公出国（境）费用</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31009</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土地补偿</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30114</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医疗费</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30213</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维修（护）费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31010</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安置补助</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30199</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其他工资福利支出</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497,726.07</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30214</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租赁费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31011</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地上附着物和青苗补偿</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303</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对个人和家庭的补助</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2,400,316.61</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30215</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会议费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31012</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拆迁补偿</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30301</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离休费</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105,232.80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30216</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培训费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31013</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公务用车购置</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30302</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退休费</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977,902.48</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30217</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公务接待费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31019</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其他交通工具购置</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30303</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退职（役）费</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30218</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专用材料费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31021</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文物和陈列品购置</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30304</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抚恤金</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587,673.52</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30224</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被装购置费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31022</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无形资产购置</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30305</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生活补助</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83,907.00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30225</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专用燃料费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31099</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其他资本性支出</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30306</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救济费</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30226</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劳务费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399</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其他支出</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30307</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医疗费补助</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297,025.81</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30227</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委托业务费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39906</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赠与</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30308</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助学金</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30228</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工会经费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39907</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国家赔偿费用支出</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22"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30309</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奖励金</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18,000.00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30229</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福利费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39908</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对民间非营利组织和群众性自治组织补贴</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30310</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个人农业生产补贴</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30231</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公务用车运行维护费</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39999</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其他支出</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30311</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代缴社会保险费</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30239</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其他交通费用</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　</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30399</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其他对个人和家庭的补助</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330,575.00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30240</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税金及附加费用</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　</w:t>
            </w:r>
          </w:p>
        </w:tc>
      </w:tr>
      <w:tr>
        <w:tblPrEx>
          <w:tblCellMar>
            <w:top w:w="0" w:type="dxa"/>
            <w:left w:w="108" w:type="dxa"/>
            <w:bottom w:w="0" w:type="dxa"/>
            <w:right w:w="108" w:type="dxa"/>
          </w:tblCellMar>
        </w:tblPrEx>
        <w:trPr>
          <w:trHeight w:val="284" w:hRule="exact"/>
        </w:trPr>
        <w:tc>
          <w:tcPr>
            <w:tcW w:w="1101" w:type="dxa"/>
            <w:tcBorders>
              <w:top w:val="nil"/>
              <w:left w:val="single" w:color="auto" w:sz="4" w:space="0"/>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w:t>
            </w:r>
          </w:p>
        </w:tc>
        <w:tc>
          <w:tcPr>
            <w:tcW w:w="2693"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　</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30299</w:t>
            </w:r>
          </w:p>
        </w:tc>
        <w:tc>
          <w:tcPr>
            <w:tcW w:w="241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xml:space="preserve">  其他商品和服务支出</w:t>
            </w:r>
          </w:p>
        </w:tc>
        <w:tc>
          <w:tcPr>
            <w:tcW w:w="1276"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0.00</w:t>
            </w:r>
          </w:p>
        </w:tc>
        <w:tc>
          <w:tcPr>
            <w:tcW w:w="1134"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w:t>
            </w:r>
          </w:p>
        </w:tc>
        <w:tc>
          <w:tcPr>
            <w:tcW w:w="3191" w:type="dxa"/>
            <w:tcBorders>
              <w:top w:val="nil"/>
              <w:left w:val="nil"/>
              <w:bottom w:val="single" w:color="auto" w:sz="4" w:space="0"/>
              <w:right w:val="single" w:color="auto" w:sz="4" w:space="0"/>
            </w:tcBorders>
            <w:shd w:val="clear" w:color="auto" w:fill="auto"/>
            <w:noWrap/>
            <w:vAlign w:val="center"/>
          </w:tcPr>
          <w:p>
            <w:pPr>
              <w:rPr>
                <w:rFonts w:ascii="宋体" w:hAnsi="宋体" w:eastAsia="宋体" w:cs="Arial"/>
                <w:sz w:val="20"/>
                <w:szCs w:val="20"/>
              </w:rPr>
            </w:pPr>
            <w:r>
              <w:rPr>
                <w:rFonts w:hint="eastAsia" w:ascii="宋体" w:hAnsi="宋体" w:eastAsia="宋体" w:cs="Arial"/>
                <w:sz w:val="20"/>
                <w:szCs w:val="20"/>
              </w:rPr>
              <w:t>　</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ascii="宋体" w:hAnsi="宋体" w:eastAsia="宋体" w:cs="Arial"/>
                <w:sz w:val="20"/>
                <w:szCs w:val="20"/>
              </w:rPr>
              <w:t>　</w:t>
            </w:r>
          </w:p>
        </w:tc>
      </w:tr>
      <w:tr>
        <w:tblPrEx>
          <w:tblCellMar>
            <w:top w:w="0" w:type="dxa"/>
            <w:left w:w="108" w:type="dxa"/>
            <w:bottom w:w="0" w:type="dxa"/>
            <w:right w:w="108" w:type="dxa"/>
          </w:tblCellMar>
        </w:tblPrEx>
        <w:trPr>
          <w:trHeight w:val="284" w:hRule="exact"/>
        </w:trPr>
        <w:tc>
          <w:tcPr>
            <w:tcW w:w="379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Arial"/>
                <w:sz w:val="20"/>
                <w:szCs w:val="20"/>
              </w:rPr>
            </w:pPr>
            <w:r>
              <w:rPr>
                <w:rFonts w:hint="eastAsia" w:cs="Arial"/>
                <w:sz w:val="20"/>
                <w:szCs w:val="20"/>
              </w:rPr>
              <w:t>人员经费合计</w:t>
            </w:r>
          </w:p>
        </w:tc>
        <w:tc>
          <w:tcPr>
            <w:tcW w:w="1417"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cs="Arial"/>
                <w:sz w:val="20"/>
                <w:szCs w:val="20"/>
              </w:rPr>
              <w:t>35,894,812.00</w:t>
            </w:r>
          </w:p>
        </w:tc>
        <w:tc>
          <w:tcPr>
            <w:tcW w:w="9145" w:type="dxa"/>
            <w:gridSpan w:val="5"/>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eastAsia="宋体" w:cs="Arial"/>
                <w:sz w:val="20"/>
                <w:szCs w:val="20"/>
              </w:rPr>
            </w:pPr>
            <w:r>
              <w:rPr>
                <w:rFonts w:hint="eastAsia" w:cs="Arial"/>
                <w:sz w:val="20"/>
                <w:szCs w:val="20"/>
              </w:rPr>
              <w:t>公用经费合计</w:t>
            </w:r>
          </w:p>
        </w:tc>
        <w:tc>
          <w:tcPr>
            <w:tcW w:w="125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Arial"/>
                <w:sz w:val="20"/>
                <w:szCs w:val="20"/>
              </w:rPr>
            </w:pPr>
            <w:r>
              <w:rPr>
                <w:rFonts w:hint="eastAsia" w:cs="Arial"/>
                <w:sz w:val="20"/>
                <w:szCs w:val="20"/>
              </w:rPr>
              <w:t>0.00</w:t>
            </w:r>
          </w:p>
        </w:tc>
      </w:tr>
      <w:tr>
        <w:tblPrEx>
          <w:tblCellMar>
            <w:top w:w="0" w:type="dxa"/>
            <w:left w:w="108" w:type="dxa"/>
            <w:bottom w:w="0" w:type="dxa"/>
            <w:right w:w="108" w:type="dxa"/>
          </w:tblCellMar>
        </w:tblPrEx>
        <w:trPr>
          <w:trHeight w:val="464" w:hRule="exact"/>
        </w:trPr>
        <w:tc>
          <w:tcPr>
            <w:tcW w:w="15614" w:type="dxa"/>
            <w:gridSpan w:val="9"/>
            <w:tcBorders>
              <w:top w:val="nil"/>
              <w:left w:val="nil"/>
              <w:bottom w:val="nil"/>
              <w:right w:val="nil"/>
            </w:tcBorders>
            <w:shd w:val="clear" w:color="auto" w:fill="auto"/>
            <w:noWrap/>
            <w:vAlign w:val="center"/>
          </w:tcPr>
          <w:p>
            <w:pPr>
              <w:widowControl/>
              <w:jc w:val="left"/>
              <w:rPr>
                <w:rFonts w:cs="宋体" w:asciiTheme="majorEastAsia" w:hAnsiTheme="majorEastAsia" w:eastAsiaTheme="majorEastAsia"/>
                <w:color w:val="000000"/>
                <w:kern w:val="0"/>
                <w:szCs w:val="24"/>
              </w:rPr>
            </w:pPr>
            <w:r>
              <w:rPr>
                <w:rFonts w:hint="eastAsia" w:cs="Times New Roman" w:asciiTheme="majorEastAsia" w:hAnsiTheme="majorEastAsia" w:eastAsiaTheme="majorEastAsia"/>
                <w:kern w:val="0"/>
                <w:szCs w:val="21"/>
              </w:rPr>
              <w:t>注：本表反映部门本年度一般公共预算财政拨款基本支出明细情况。</w:t>
            </w:r>
          </w:p>
        </w:tc>
      </w:tr>
    </w:tbl>
    <w:p>
      <w:pPr>
        <w:widowControl/>
        <w:jc w:val="center"/>
        <w:rPr>
          <w:rFonts w:ascii="Times New Roman" w:hAnsi="Times New Roman" w:eastAsia="方正小标宋_GBK" w:cs="Times New Roman"/>
          <w:color w:val="000000"/>
          <w:kern w:val="0"/>
          <w:sz w:val="36"/>
          <w:szCs w:val="36"/>
        </w:rPr>
      </w:pPr>
    </w:p>
    <w:p>
      <w:pPr>
        <w:widowControl/>
        <w:jc w:val="center"/>
        <w:rPr>
          <w:rFonts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pPr>
        <w:widowControl/>
        <w:jc w:val="left"/>
        <w:rPr>
          <w:rFonts w:cs="Times New Roman" w:asciiTheme="minorEastAsia" w:hAnsiTheme="minorEastAsia"/>
          <w:color w:val="000000"/>
          <w:kern w:val="0"/>
          <w:sz w:val="20"/>
          <w:szCs w:val="20"/>
        </w:rPr>
      </w:pPr>
      <w:r>
        <w:rPr>
          <w:rFonts w:hint="eastAsia" w:ascii="Times New Roman" w:hAnsi="Times New Roman" w:eastAsia="仿宋_GB2312" w:cs="Times New Roman"/>
          <w:color w:val="000000"/>
          <w:kern w:val="0"/>
          <w:szCs w:val="21"/>
        </w:rPr>
        <w:t xml:space="preserve">                                                                                                                               </w:t>
      </w:r>
      <w:r>
        <w:rPr>
          <w:rFonts w:cs="Times New Roman" w:asciiTheme="minorEastAsia" w:hAnsiTheme="minorEastAsia"/>
          <w:color w:val="000000"/>
          <w:kern w:val="0"/>
          <w:sz w:val="20"/>
          <w:szCs w:val="20"/>
        </w:rPr>
        <w:t>公开0</w:t>
      </w:r>
      <w:r>
        <w:rPr>
          <w:rFonts w:hint="eastAsia" w:cs="Times New Roman" w:asciiTheme="minorEastAsia" w:hAnsiTheme="minorEastAsia"/>
          <w:color w:val="000000"/>
          <w:kern w:val="0"/>
          <w:sz w:val="20"/>
          <w:szCs w:val="20"/>
        </w:rPr>
        <w:t>7</w:t>
      </w:r>
      <w:r>
        <w:rPr>
          <w:rFonts w:cs="Times New Roman" w:asciiTheme="minorEastAsia" w:hAnsiTheme="minorEastAsia"/>
          <w:color w:val="000000"/>
          <w:kern w:val="0"/>
          <w:sz w:val="20"/>
          <w:szCs w:val="20"/>
        </w:rPr>
        <w:t>表</w:t>
      </w:r>
    </w:p>
    <w:p>
      <w:pPr>
        <w:widowControl/>
        <w:ind w:right="840"/>
        <w:jc w:val="left"/>
        <w:rPr>
          <w:rFonts w:cs="Times New Roman" w:asciiTheme="minorEastAsia" w:hAnsiTheme="minorEastAsia"/>
          <w:color w:val="000000"/>
          <w:kern w:val="0"/>
          <w:sz w:val="20"/>
          <w:szCs w:val="20"/>
        </w:rPr>
      </w:pPr>
      <w:r>
        <w:rPr>
          <w:rFonts w:hint="eastAsia" w:cs="Times New Roman" w:asciiTheme="minorEastAsia" w:hAnsiTheme="minorEastAsia"/>
          <w:color w:val="000000"/>
          <w:kern w:val="0"/>
          <w:sz w:val="20"/>
          <w:szCs w:val="20"/>
        </w:rPr>
        <w:t xml:space="preserve">   </w:t>
      </w:r>
      <w:r>
        <w:rPr>
          <w:rFonts w:cs="Times New Roman" w:asciiTheme="minorEastAsia" w:hAnsiTheme="minorEastAsia"/>
          <w:color w:val="000000"/>
          <w:kern w:val="0"/>
          <w:sz w:val="20"/>
          <w:szCs w:val="20"/>
        </w:rPr>
        <w:t>部门：</w:t>
      </w:r>
      <w:r>
        <w:rPr>
          <w:rFonts w:hint="eastAsia" w:cs="Times New Roman" w:asciiTheme="minorEastAsia" w:hAnsiTheme="minorEastAsia"/>
          <w:color w:val="000000"/>
          <w:kern w:val="0"/>
          <w:sz w:val="20"/>
          <w:szCs w:val="20"/>
        </w:rPr>
        <w:t xml:space="preserve"> 湖南省林业科学院                                                                                                    　　　　</w:t>
      </w:r>
      <w:r>
        <w:rPr>
          <w:rFonts w:cs="Times New Roman" w:asciiTheme="minorEastAsia" w:hAnsiTheme="minorEastAsia"/>
          <w:color w:val="000000"/>
          <w:kern w:val="0"/>
          <w:sz w:val="20"/>
          <w:szCs w:val="20"/>
        </w:rPr>
        <w:t>单位：元</w:t>
      </w:r>
    </w:p>
    <w:tbl>
      <w:tblPr>
        <w:tblStyle w:val="6"/>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Cs w:val="21"/>
                <w:lang w:eastAsia="zh-CN"/>
              </w:rPr>
            </w:pPr>
            <w:r>
              <w:rPr>
                <w:rFonts w:ascii="Times New Roman" w:hAnsi="Times New Roman" w:eastAsia="仿宋_GB2312" w:cs="Times New Roman"/>
                <w:kern w:val="0"/>
                <w:szCs w:val="21"/>
              </w:rPr>
              <w:t>公务用车</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788"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CellMar>
            <w:top w:w="0" w:type="dxa"/>
            <w:left w:w="108" w:type="dxa"/>
            <w:bottom w:w="0" w:type="dxa"/>
            <w:right w:w="108" w:type="dxa"/>
          </w:tblCellMar>
        </w:tblPrEx>
        <w:trPr>
          <w:trHeight w:val="1139"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widowControl/>
              <w:jc w:val="left"/>
              <w:rPr>
                <w:rFonts w:hint="default"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nil"/>
            </w:tcBorders>
            <w:shd w:val="clear" w:color="auto" w:fill="auto"/>
            <w:vAlign w:val="center"/>
          </w:tcPr>
          <w:p>
            <w:pPr>
              <w:widowControl/>
              <w:jc w:val="left"/>
              <w:rPr>
                <w:rFonts w:hint="default"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left"/>
              <w:rPr>
                <w:rFonts w:hint="default" w:ascii="Times New Roman" w:hAnsi="Times New Roman" w:eastAsia="仿宋_GB2312" w:cs="Times New Roman"/>
                <w:kern w:val="0"/>
                <w:sz w:val="21"/>
                <w:szCs w:val="21"/>
                <w:lang w:val="en-US" w:eastAsia="zh-CN" w:bidi="ar-SA"/>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r>
    </w:tbl>
    <w:p>
      <w:pPr>
        <w:widowControl/>
        <w:ind w:firstLine="315" w:firstLineChars="150"/>
        <w:jc w:val="left"/>
        <w:rPr>
          <w:rFonts w:ascii="宋体" w:eastAsia="宋体" w:cs="宋体"/>
          <w:kern w:val="0"/>
          <w:szCs w:val="21"/>
        </w:rPr>
      </w:pPr>
      <w:r>
        <w:rPr>
          <w:rFonts w:hint="eastAsia" w:ascii="宋体" w:eastAsia="宋体" w:cs="宋体"/>
          <w:kern w:val="0"/>
          <w:szCs w:val="21"/>
        </w:rPr>
        <w:t>注：本表反映部门本年度“三公”经费支出预决算情况。其中，预算数为“三公”经费全年预算数，反映按规定程序调整后的预算数；决算数是包括当年一般公共预算财政拨款和以前年度结转资金安排的实际支出。</w:t>
      </w:r>
    </w:p>
    <w:p>
      <w:pPr>
        <w:widowControl/>
        <w:ind w:firstLine="630" w:firstLineChars="300"/>
        <w:jc w:val="left"/>
        <w:rPr>
          <w:rFonts w:ascii="宋体" w:eastAsia="宋体" w:cs="宋体"/>
          <w:kern w:val="0"/>
          <w:szCs w:val="21"/>
        </w:rPr>
      </w:pPr>
      <w:r>
        <w:rPr>
          <w:rFonts w:hint="eastAsia" w:ascii="宋体" w:eastAsia="宋体" w:cs="宋体"/>
          <w:kern w:val="0"/>
          <w:szCs w:val="21"/>
          <w:lang w:val="en-US" w:eastAsia="zh-CN"/>
        </w:rPr>
        <w:t>说明：</w:t>
      </w:r>
      <w:r>
        <w:rPr>
          <w:rFonts w:hint="eastAsia" w:ascii="宋体" w:eastAsia="宋体" w:cs="宋体"/>
          <w:kern w:val="0"/>
          <w:szCs w:val="21"/>
        </w:rPr>
        <w:t>湖南省林业科学院2021年度一般公共预算财政拨款“三公”经费支出预算、决算均为0，</w:t>
      </w:r>
      <w:r>
        <w:rPr>
          <w:rFonts w:hint="eastAsia" w:cs="Times New Roman" w:asciiTheme="minorEastAsia" w:hAnsiTheme="minorEastAsia"/>
          <w:kern w:val="0"/>
          <w:szCs w:val="21"/>
        </w:rPr>
        <w:t>故本表无数据。</w:t>
      </w:r>
      <w:r>
        <w:rPr>
          <w:rFonts w:ascii="宋体" w:eastAsia="宋体" w:cs="宋体"/>
          <w:kern w:val="0"/>
          <w:szCs w:val="21"/>
        </w:rPr>
        <w:br w:type="page"/>
      </w:r>
    </w:p>
    <w:p>
      <w:pPr>
        <w:autoSpaceDE w:val="0"/>
        <w:autoSpaceDN w:val="0"/>
        <w:adjustRightInd w:val="0"/>
        <w:ind w:left="315" w:leftChars="150"/>
        <w:jc w:val="left"/>
        <w:rPr>
          <w:rFonts w:ascii="宋体" w:eastAsia="宋体" w:cs="宋体"/>
          <w:kern w:val="0"/>
          <w:sz w:val="24"/>
          <w:szCs w:val="24"/>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wordWrap w:val="0"/>
        <w:ind w:right="420"/>
        <w:jc w:val="center"/>
        <w:rPr>
          <w:rFonts w:cs="Times New Roman" w:asciiTheme="minorEastAsia" w:hAnsiTheme="minorEastAsia"/>
          <w:color w:val="000000"/>
          <w:kern w:val="0"/>
          <w:sz w:val="20"/>
          <w:szCs w:val="20"/>
        </w:rPr>
      </w:pPr>
      <w:r>
        <w:rPr>
          <w:rFonts w:hint="eastAsia" w:ascii="Times New Roman" w:hAnsi="Times New Roman" w:eastAsia="仿宋_GB2312" w:cs="Times New Roman"/>
          <w:color w:val="000000"/>
          <w:kern w:val="0"/>
          <w:szCs w:val="21"/>
        </w:rPr>
        <w:t xml:space="preserve">                                                                                                       　</w:t>
      </w:r>
      <w:r>
        <w:rPr>
          <w:rFonts w:hint="eastAsia" w:cs="Times New Roman" w:asciiTheme="minorEastAsia" w:hAnsiTheme="minorEastAsia"/>
          <w:color w:val="000000"/>
          <w:kern w:val="0"/>
          <w:sz w:val="20"/>
          <w:szCs w:val="20"/>
        </w:rPr>
        <w:t xml:space="preserve"> </w:t>
      </w:r>
      <w:r>
        <w:rPr>
          <w:rFonts w:cs="Times New Roman" w:asciiTheme="minorEastAsia" w:hAnsiTheme="minorEastAsia"/>
          <w:color w:val="000000"/>
          <w:kern w:val="0"/>
          <w:sz w:val="20"/>
          <w:szCs w:val="20"/>
        </w:rPr>
        <w:t>公开08表</w:t>
      </w:r>
    </w:p>
    <w:p>
      <w:pPr>
        <w:widowControl/>
        <w:ind w:firstLine="500" w:firstLineChars="250"/>
        <w:jc w:val="left"/>
        <w:rPr>
          <w:rFonts w:cs="Times New Roman" w:asciiTheme="minorEastAsia" w:hAnsiTheme="minorEastAsia"/>
          <w:color w:val="000000"/>
          <w:kern w:val="0"/>
          <w:sz w:val="20"/>
          <w:szCs w:val="20"/>
        </w:rPr>
      </w:pPr>
      <w:r>
        <w:rPr>
          <w:rFonts w:cs="Times New Roman" w:asciiTheme="minorEastAsia" w:hAnsiTheme="minorEastAsia"/>
          <w:color w:val="000000"/>
          <w:kern w:val="0"/>
          <w:sz w:val="20"/>
          <w:szCs w:val="20"/>
        </w:rPr>
        <w:t>部门：</w:t>
      </w:r>
      <w:r>
        <w:rPr>
          <w:rFonts w:hint="eastAsia" w:cs="Times New Roman" w:asciiTheme="minorEastAsia" w:hAnsiTheme="minorEastAsia"/>
          <w:color w:val="000000"/>
          <w:kern w:val="0"/>
          <w:sz w:val="20"/>
          <w:szCs w:val="20"/>
        </w:rPr>
        <w:t>湖南省林业科学院                                                                                                   　　　　</w:t>
      </w:r>
      <w:r>
        <w:rPr>
          <w:rFonts w:cs="Times New Roman" w:asciiTheme="minorEastAsia" w:hAnsiTheme="minorEastAsia"/>
          <w:color w:val="000000"/>
          <w:kern w:val="0"/>
          <w:sz w:val="20"/>
          <w:szCs w:val="20"/>
        </w:rPr>
        <w:t>单位：元</w:t>
      </w:r>
    </w:p>
    <w:tbl>
      <w:tblPr>
        <w:tblStyle w:val="6"/>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0.00</w:t>
            </w: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0.00</w:t>
            </w: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2000" w:type="dxa"/>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0.00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0..0</w:t>
            </w:r>
            <w:r>
              <w:rPr>
                <w:rFonts w:ascii="Times New Roman" w:hAnsi="Times New Roman" w:eastAsia="仿宋_GB2312" w:cs="Times New Roman"/>
                <w:kern w:val="0"/>
                <w:szCs w:val="21"/>
              </w:rPr>
              <w:t>　</w:t>
            </w:r>
          </w:p>
        </w:tc>
      </w:tr>
    </w:tbl>
    <w:p>
      <w:pPr>
        <w:widowControl/>
        <w:ind w:firstLine="420" w:firstLineChars="200"/>
        <w:jc w:val="left"/>
        <w:rPr>
          <w:rFonts w:cs="Times New Roman" w:asciiTheme="minorEastAsia" w:hAnsiTheme="minorEastAsia"/>
          <w:kern w:val="0"/>
          <w:szCs w:val="21"/>
        </w:rPr>
      </w:pPr>
      <w:r>
        <w:rPr>
          <w:rFonts w:cs="Times New Roman" w:asciiTheme="minorEastAsia" w:hAnsiTheme="minorEastAsia"/>
          <w:kern w:val="0"/>
          <w:szCs w:val="21"/>
        </w:rPr>
        <w:t>注：本表反映部门本年度政府性基金预算财政拨款收入、支出及结转和结余情况</w:t>
      </w:r>
      <w:r>
        <w:rPr>
          <w:rFonts w:hint="eastAsia" w:cs="Times New Roman" w:asciiTheme="minorEastAsia" w:hAnsiTheme="minorEastAsia"/>
          <w:kern w:val="0"/>
          <w:szCs w:val="21"/>
        </w:rPr>
        <w:t>。</w:t>
      </w:r>
    </w:p>
    <w:p>
      <w:pPr>
        <w:widowControl/>
        <w:ind w:firstLine="840" w:firstLineChars="400"/>
        <w:jc w:val="left"/>
        <w:rPr>
          <w:rFonts w:cs="Times New Roman" w:asciiTheme="minorEastAsia" w:hAnsiTheme="minorEastAsia"/>
          <w:kern w:val="0"/>
          <w:szCs w:val="21"/>
        </w:rPr>
      </w:pPr>
      <w:r>
        <w:rPr>
          <w:rFonts w:hint="eastAsia" w:asciiTheme="minorEastAsia" w:hAnsiTheme="minorEastAsia"/>
          <w:szCs w:val="21"/>
          <w:lang w:val="en-US" w:eastAsia="zh-CN"/>
        </w:rPr>
        <w:t>说明：</w:t>
      </w:r>
      <w:r>
        <w:rPr>
          <w:rFonts w:asciiTheme="minorEastAsia" w:hAnsiTheme="minorEastAsia"/>
          <w:szCs w:val="21"/>
        </w:rPr>
        <w:t>湖南省</w:t>
      </w:r>
      <w:r>
        <w:rPr>
          <w:rFonts w:hint="eastAsia" w:asciiTheme="minorEastAsia" w:hAnsiTheme="minorEastAsia"/>
          <w:szCs w:val="21"/>
        </w:rPr>
        <w:t>林业科学院</w:t>
      </w:r>
      <w:r>
        <w:rPr>
          <w:rFonts w:hint="eastAsia" w:cs="Times New Roman" w:asciiTheme="minorEastAsia" w:hAnsiTheme="minorEastAsia"/>
          <w:kern w:val="0"/>
          <w:szCs w:val="21"/>
        </w:rPr>
        <w:t>2021年度没有政府性基金财政拨款收入和支出，故本表无数据</w:t>
      </w:r>
    </w:p>
    <w:p>
      <w:pPr>
        <w:widowControl/>
        <w:jc w:val="left"/>
        <w:rPr>
          <w:rFonts w:ascii="黑体" w:hAnsi="黑体" w:eastAsia="黑体"/>
          <w:szCs w:val="21"/>
        </w:rPr>
      </w:pPr>
      <w:r>
        <w:rPr>
          <w:rFonts w:ascii="黑体" w:hAnsi="黑体" w:eastAsia="黑体"/>
          <w:szCs w:val="21"/>
        </w:rPr>
        <w:br w:type="page"/>
      </w:r>
    </w:p>
    <w:tbl>
      <w:tblPr>
        <w:tblStyle w:val="6"/>
        <w:tblW w:w="15324" w:type="dxa"/>
        <w:tblInd w:w="93" w:type="dxa"/>
        <w:tblLayout w:type="autofit"/>
        <w:tblCellMar>
          <w:top w:w="0" w:type="dxa"/>
          <w:left w:w="108" w:type="dxa"/>
          <w:bottom w:w="0" w:type="dxa"/>
          <w:right w:w="108" w:type="dxa"/>
        </w:tblCellMar>
      </w:tblPr>
      <w:tblGrid>
        <w:gridCol w:w="2709"/>
        <w:gridCol w:w="4394"/>
        <w:gridCol w:w="2693"/>
        <w:gridCol w:w="2977"/>
        <w:gridCol w:w="2551"/>
      </w:tblGrid>
      <w:tr>
        <w:tblPrEx>
          <w:tblCellMar>
            <w:top w:w="0" w:type="dxa"/>
            <w:left w:w="108" w:type="dxa"/>
            <w:bottom w:w="0" w:type="dxa"/>
            <w:right w:w="108" w:type="dxa"/>
          </w:tblCellMar>
        </w:tblPrEx>
        <w:trPr>
          <w:trHeight w:val="720" w:hRule="atLeast"/>
        </w:trPr>
        <w:tc>
          <w:tcPr>
            <w:tcW w:w="15324" w:type="dxa"/>
            <w:gridSpan w:val="5"/>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p>
            <w:pPr>
              <w:widowControl/>
              <w:wordWrap w:val="0"/>
              <w:ind w:right="420"/>
              <w:jc w:val="right"/>
              <w:rPr>
                <w:rFonts w:cs="Times New Roman" w:asciiTheme="minorEastAsia" w:hAnsiTheme="minorEastAsia"/>
                <w:color w:val="000000"/>
                <w:kern w:val="0"/>
                <w:sz w:val="20"/>
                <w:szCs w:val="20"/>
              </w:rPr>
            </w:pPr>
            <w:r>
              <w:rPr>
                <w:rFonts w:hint="eastAsia" w:ascii="Times New Roman" w:hAnsi="Times New Roman" w:eastAsia="仿宋_GB2312" w:cs="Times New Roman"/>
                <w:color w:val="000000"/>
                <w:kern w:val="0"/>
                <w:szCs w:val="21"/>
              </w:rPr>
              <w:t xml:space="preserve">                                                                                                          </w:t>
            </w:r>
            <w:r>
              <w:rPr>
                <w:rFonts w:cs="Times New Roman" w:asciiTheme="minorEastAsia" w:hAnsiTheme="minorEastAsia"/>
                <w:color w:val="000000"/>
                <w:kern w:val="0"/>
                <w:sz w:val="20"/>
                <w:szCs w:val="20"/>
              </w:rPr>
              <w:t>公开08表</w:t>
            </w:r>
          </w:p>
          <w:p>
            <w:pPr>
              <w:widowControl/>
              <w:jc w:val="left"/>
              <w:rPr>
                <w:rFonts w:ascii="华文中宋" w:hAnsi="华文中宋" w:eastAsia="华文中宋" w:cs="宋体"/>
                <w:kern w:val="0"/>
                <w:sz w:val="32"/>
                <w:szCs w:val="32"/>
              </w:rPr>
            </w:pPr>
            <w:r>
              <w:rPr>
                <w:rFonts w:cs="Times New Roman" w:asciiTheme="minorEastAsia" w:hAnsiTheme="minorEastAsia"/>
                <w:color w:val="000000"/>
                <w:kern w:val="0"/>
                <w:sz w:val="20"/>
                <w:szCs w:val="20"/>
              </w:rPr>
              <w:t>部门：</w:t>
            </w:r>
            <w:r>
              <w:rPr>
                <w:rFonts w:hint="eastAsia" w:cs="Times New Roman" w:asciiTheme="minorEastAsia" w:hAnsiTheme="minorEastAsia"/>
                <w:color w:val="000000"/>
                <w:kern w:val="0"/>
                <w:sz w:val="20"/>
                <w:szCs w:val="20"/>
              </w:rPr>
              <w:t xml:space="preserve">湖南省林业科学院                                                                                                           　　　　 </w:t>
            </w:r>
            <w:r>
              <w:rPr>
                <w:rFonts w:cs="Times New Roman" w:asciiTheme="minorEastAsia" w:hAnsiTheme="minorEastAsia"/>
                <w:color w:val="000000"/>
                <w:kern w:val="0"/>
                <w:sz w:val="20"/>
                <w:szCs w:val="20"/>
              </w:rPr>
              <w:t>单位：元</w:t>
            </w:r>
          </w:p>
        </w:tc>
      </w:tr>
      <w:tr>
        <w:tblPrEx>
          <w:tblCellMar>
            <w:top w:w="0" w:type="dxa"/>
            <w:left w:w="108" w:type="dxa"/>
            <w:bottom w:w="0" w:type="dxa"/>
            <w:right w:w="108" w:type="dxa"/>
          </w:tblCellMar>
        </w:tblPrEx>
        <w:trPr>
          <w:trHeight w:val="510" w:hRule="atLeast"/>
        </w:trPr>
        <w:tc>
          <w:tcPr>
            <w:tcW w:w="7103"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8221" w:type="dxa"/>
            <w:gridSpan w:val="3"/>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439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69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255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439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6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55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439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6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55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7103" w:type="dxa"/>
            <w:gridSpan w:val="2"/>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7103" w:type="dxa"/>
            <w:gridSpan w:val="2"/>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6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0.00</w:t>
            </w:r>
            <w:r>
              <w:rPr>
                <w:rFonts w:hint="eastAsia" w:ascii="宋体" w:hAnsi="宋体" w:eastAsia="宋体" w:cs="宋体"/>
                <w:kern w:val="0"/>
                <w:sz w:val="24"/>
                <w:szCs w:val="24"/>
              </w:rPr>
              <w:t>　</w:t>
            </w:r>
          </w:p>
        </w:tc>
        <w:tc>
          <w:tcPr>
            <w:tcW w:w="29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0.00</w:t>
            </w:r>
            <w:r>
              <w:rPr>
                <w:rFonts w:hint="eastAsia" w:ascii="宋体" w:hAnsi="宋体" w:eastAsia="宋体" w:cs="宋体"/>
                <w:kern w:val="0"/>
                <w:sz w:val="24"/>
                <w:szCs w:val="24"/>
              </w:rPr>
              <w:t>　</w:t>
            </w:r>
          </w:p>
        </w:tc>
        <w:tc>
          <w:tcPr>
            <w:tcW w:w="2551"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0.00</w:t>
            </w:r>
          </w:p>
        </w:tc>
      </w:tr>
      <w:tr>
        <w:tblPrEx>
          <w:tblCellMar>
            <w:top w:w="0" w:type="dxa"/>
            <w:left w:w="108" w:type="dxa"/>
            <w:bottom w:w="0" w:type="dxa"/>
            <w:right w:w="108" w:type="dxa"/>
          </w:tblCellMar>
        </w:tblPrEx>
        <w:trPr>
          <w:trHeight w:val="720" w:hRule="atLeast"/>
        </w:trPr>
        <w:tc>
          <w:tcPr>
            <w:tcW w:w="15324" w:type="dxa"/>
            <w:gridSpan w:val="5"/>
            <w:tcBorders>
              <w:top w:val="single" w:color="auto" w:sz="8" w:space="0"/>
              <w:left w:val="nil"/>
              <w:bottom w:val="nil"/>
              <w:right w:val="nil"/>
            </w:tcBorders>
            <w:shd w:val="clear" w:color="auto" w:fill="auto"/>
            <w:vAlign w:val="center"/>
          </w:tcPr>
          <w:p>
            <w:pPr>
              <w:widowControl/>
              <w:jc w:val="left"/>
              <w:rPr>
                <w:rFonts w:cs="宋体" w:asciiTheme="minorEastAsia" w:hAnsiTheme="minorEastAsia"/>
                <w:kern w:val="0"/>
                <w:szCs w:val="21"/>
              </w:rPr>
            </w:pPr>
            <w:r>
              <w:rPr>
                <w:rFonts w:hint="eastAsia" w:cs="宋体" w:asciiTheme="minorEastAsia" w:hAnsiTheme="minorEastAsia"/>
                <w:kern w:val="0"/>
                <w:szCs w:val="21"/>
              </w:rPr>
              <w:t>注：本表反映部门本年度国有资本经营预算财政拨款支出情况。</w:t>
            </w:r>
          </w:p>
          <w:p>
            <w:pPr>
              <w:widowControl/>
              <w:jc w:val="left"/>
              <w:rPr>
                <w:rFonts w:ascii="宋体" w:hAnsi="宋体" w:eastAsia="宋体" w:cs="宋体"/>
                <w:kern w:val="0"/>
                <w:sz w:val="24"/>
                <w:szCs w:val="24"/>
              </w:rPr>
            </w:pPr>
            <w:r>
              <w:rPr>
                <w:rFonts w:hint="eastAsia" w:cs="宋体" w:asciiTheme="minorEastAsia" w:hAnsiTheme="minorEastAsia"/>
                <w:kern w:val="0"/>
                <w:szCs w:val="21"/>
              </w:rPr>
              <w:t xml:space="preserve">    </w:t>
            </w:r>
            <w:r>
              <w:rPr>
                <w:rFonts w:hint="eastAsia" w:cs="宋体" w:asciiTheme="minorEastAsia" w:hAnsiTheme="minorEastAsia"/>
                <w:kern w:val="0"/>
                <w:szCs w:val="21"/>
                <w:lang w:val="en-US" w:eastAsia="zh-CN"/>
              </w:rPr>
              <w:t>说明：</w:t>
            </w:r>
            <w:r>
              <w:rPr>
                <w:rFonts w:asciiTheme="minorEastAsia" w:hAnsiTheme="minorEastAsia"/>
                <w:szCs w:val="21"/>
              </w:rPr>
              <w:t>湖南省</w:t>
            </w:r>
            <w:r>
              <w:rPr>
                <w:rFonts w:hint="eastAsia" w:asciiTheme="minorEastAsia" w:hAnsiTheme="minorEastAsia"/>
                <w:szCs w:val="21"/>
              </w:rPr>
              <w:t>林业科学院2021年度没有国有资本经营收入，也没有</w:t>
            </w:r>
            <w:r>
              <w:t>使用国有资本经营预算安排的支出，</w:t>
            </w:r>
            <w:r>
              <w:rPr>
                <w:rFonts w:asciiTheme="minorEastAsia" w:hAnsiTheme="minorEastAsia"/>
                <w:szCs w:val="21"/>
              </w:rPr>
              <w:t>，故本表无数据。</w:t>
            </w:r>
          </w:p>
        </w:tc>
      </w:tr>
    </w:tbl>
    <w:p>
      <w:pPr>
        <w:pStyle w:val="10"/>
        <w:rPr>
          <w:sz w:val="72"/>
          <w:szCs w:val="72"/>
        </w:rPr>
        <w:sectPr>
          <w:pgSz w:w="16838" w:h="11906" w:orient="landscape"/>
          <w:pgMar w:top="720" w:right="720" w:bottom="720" w:left="720" w:header="851" w:footer="992" w:gutter="0"/>
          <w:cols w:space="425" w:num="1"/>
          <w:docGrid w:type="lines" w:linePitch="312" w:charSpace="0"/>
        </w:sectPr>
      </w:pPr>
    </w:p>
    <w:p>
      <w:pPr>
        <w:pStyle w:val="10"/>
        <w:rPr>
          <w:sz w:val="72"/>
          <w:szCs w:val="72"/>
        </w:rPr>
      </w:pPr>
    </w:p>
    <w:p>
      <w:pPr>
        <w:pStyle w:val="10"/>
        <w:rPr>
          <w:sz w:val="72"/>
          <w:szCs w:val="72"/>
        </w:rPr>
      </w:pPr>
    </w:p>
    <w:p>
      <w:pPr>
        <w:pStyle w:val="10"/>
        <w:rPr>
          <w:sz w:val="72"/>
          <w:szCs w:val="72"/>
        </w:rPr>
      </w:pPr>
    </w:p>
    <w:p>
      <w:pPr>
        <w:pStyle w:val="10"/>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第三部分</w:t>
      </w:r>
    </w:p>
    <w:p>
      <w:pPr>
        <w:pStyle w:val="10"/>
        <w:jc w:val="center"/>
        <w:rPr>
          <w:sz w:val="70"/>
          <w:szCs w:val="70"/>
        </w:rPr>
      </w:pPr>
    </w:p>
    <w:p>
      <w:pPr>
        <w:pStyle w:val="10"/>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10"/>
        <w:rPr>
          <w:rFonts w:asciiTheme="minorEastAsia" w:hAnsiTheme="minorEastAsia" w:eastAsiaTheme="minorEastAsia"/>
          <w:b/>
          <w:sz w:val="28"/>
          <w:szCs w:val="28"/>
        </w:rPr>
      </w:pPr>
      <w:r>
        <w:rPr>
          <w:rFonts w:hint="eastAsia" w:asciiTheme="minorEastAsia" w:hAnsiTheme="minorEastAsia" w:eastAsiaTheme="minorEastAsia"/>
          <w:b/>
          <w:sz w:val="28"/>
          <w:szCs w:val="28"/>
        </w:rPr>
        <w:t>一、收入支出决算总体情况说明</w:t>
      </w:r>
    </w:p>
    <w:p>
      <w:pPr>
        <w:pStyle w:val="1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2021年度收、支总计19770.79万元。与上年相比，增加1018.02万元，增长5.4%，主要是因为国库项目经费拨款比上年增加841.44万元，增长20%，国库项目支出比上年增加1514.58万元，增长52%。</w:t>
      </w:r>
    </w:p>
    <w:p>
      <w:pPr>
        <w:pStyle w:val="10"/>
        <w:rPr>
          <w:rFonts w:asciiTheme="minorEastAsia" w:hAnsiTheme="minorEastAsia" w:eastAsiaTheme="minorEastAsia"/>
          <w:b/>
          <w:sz w:val="28"/>
          <w:szCs w:val="28"/>
        </w:rPr>
      </w:pPr>
      <w:r>
        <w:rPr>
          <w:rFonts w:hint="eastAsia" w:asciiTheme="minorEastAsia" w:hAnsiTheme="minorEastAsia" w:eastAsiaTheme="minorEastAsia"/>
          <w:b/>
          <w:sz w:val="28"/>
          <w:szCs w:val="28"/>
        </w:rPr>
        <w:t>二、收入决算情况说明</w:t>
      </w:r>
    </w:p>
    <w:p>
      <w:pPr>
        <w:pStyle w:val="1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2021年度收入合计11788.00万元，其中：财政拨款收入9253.75万元，占78.5%；事业收入2491.02万元，占21.1%；其他收入43.23万元，占0.4%。</w:t>
      </w:r>
    </w:p>
    <w:p>
      <w:pPr>
        <w:pStyle w:val="10"/>
        <w:rPr>
          <w:rFonts w:asciiTheme="minorEastAsia" w:hAnsiTheme="minorEastAsia" w:eastAsiaTheme="minorEastAsia"/>
          <w:b/>
          <w:sz w:val="28"/>
          <w:szCs w:val="28"/>
        </w:rPr>
      </w:pPr>
      <w:r>
        <w:rPr>
          <w:rFonts w:hint="eastAsia" w:asciiTheme="minorEastAsia" w:hAnsiTheme="minorEastAsia" w:eastAsiaTheme="minorEastAsia"/>
          <w:b/>
          <w:sz w:val="28"/>
          <w:szCs w:val="28"/>
        </w:rPr>
        <w:t>三、支出决算情况说明</w:t>
      </w:r>
    </w:p>
    <w:p>
      <w:pPr>
        <w:pStyle w:val="1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2021年度支出合计10689.42万元，其中：基本支出3865.65万元，占36.2%；项目支出6823.77万元，占63.8%。</w:t>
      </w:r>
    </w:p>
    <w:p>
      <w:pPr>
        <w:pStyle w:val="10"/>
        <w:rPr>
          <w:rFonts w:asciiTheme="minorEastAsia" w:hAnsiTheme="minorEastAsia" w:eastAsiaTheme="minorEastAsia"/>
          <w:b/>
          <w:sz w:val="28"/>
          <w:szCs w:val="28"/>
        </w:rPr>
      </w:pPr>
      <w:r>
        <w:rPr>
          <w:rFonts w:hint="eastAsia" w:asciiTheme="minorEastAsia" w:hAnsiTheme="minorEastAsia" w:eastAsiaTheme="minorEastAsia"/>
          <w:b/>
          <w:sz w:val="28"/>
          <w:szCs w:val="28"/>
        </w:rPr>
        <w:t>四、财政拨款收入支出决算总体情况说明</w:t>
      </w:r>
    </w:p>
    <w:p>
      <w:pPr>
        <w:pStyle w:val="1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2021年度财政拨款收、支总计12469.27元，与上年相比，增加1459.79万元,增长13.2%，主要是因为国库项目经费拨款比上年增加841.44万元，增长20%，国库项目支出比上年增加1514.58万元，增长52%。</w:t>
      </w:r>
    </w:p>
    <w:p>
      <w:pPr>
        <w:pStyle w:val="10"/>
        <w:rPr>
          <w:rFonts w:asciiTheme="minorEastAsia" w:hAnsiTheme="minorEastAsia" w:eastAsiaTheme="minorEastAsia"/>
          <w:b/>
          <w:sz w:val="28"/>
          <w:szCs w:val="28"/>
        </w:rPr>
      </w:pPr>
      <w:r>
        <w:rPr>
          <w:rFonts w:hint="eastAsia" w:asciiTheme="minorEastAsia" w:hAnsiTheme="minorEastAsia" w:eastAsiaTheme="minorEastAsia"/>
          <w:b/>
          <w:sz w:val="28"/>
          <w:szCs w:val="28"/>
        </w:rPr>
        <w:t>五、一般公共预算财政拨款支出决算情况说明</w:t>
      </w:r>
    </w:p>
    <w:p>
      <w:pPr>
        <w:pStyle w:val="10"/>
        <w:ind w:firstLine="560"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（一）财政拨款支出决算总体情况</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2021年度财政拨款支出8014.36万元，占本年支出合计的75%，与上年相比，财政拨款支出增加518.96万元，增长6.9%，主要是因为国库项目支出比上年增加1514.58万元，增长52%。</w:t>
      </w:r>
    </w:p>
    <w:p>
      <w:pPr>
        <w:pStyle w:val="10"/>
        <w:ind w:firstLine="420" w:firstLineChars="150"/>
        <w:rPr>
          <w:rFonts w:asciiTheme="minorEastAsia" w:hAnsiTheme="minorEastAsia" w:eastAsiaTheme="minorEastAsia"/>
          <w:b/>
          <w:sz w:val="28"/>
          <w:szCs w:val="28"/>
        </w:rPr>
      </w:pPr>
      <w:r>
        <w:rPr>
          <w:rFonts w:hint="eastAsia" w:asciiTheme="minorEastAsia" w:hAnsiTheme="minorEastAsia" w:eastAsiaTheme="minorEastAsia"/>
          <w:b/>
          <w:sz w:val="28"/>
          <w:szCs w:val="28"/>
        </w:rPr>
        <w:t>（二）财政拨款支出决算结构情况</w:t>
      </w:r>
    </w:p>
    <w:p>
      <w:pPr>
        <w:pStyle w:val="1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2021年度财政拨款支出8014.36万元，主要用于以下方面：一般公共服务(类)支出7.79万元，占0.1%；科学技术(类)支出3776.93万元，占47.1%；社会保障和就业(类)支出530.74万元，占6.6%；节能环保(类)支出5.00万元，占0.1%；农林水(类)支出3339.75万元，占41.7%；交通运输(类)支出24.14万元，占0.3%；住房保障(类)支出330.00万元，占4.1%。</w:t>
      </w:r>
    </w:p>
    <w:p>
      <w:pPr>
        <w:pStyle w:val="10"/>
        <w:ind w:firstLine="700" w:firstLineChars="250"/>
        <w:rPr>
          <w:rFonts w:asciiTheme="minorEastAsia" w:hAnsiTheme="minorEastAsia" w:eastAsiaTheme="minorEastAsia"/>
          <w:b/>
          <w:sz w:val="28"/>
          <w:szCs w:val="28"/>
        </w:rPr>
      </w:pPr>
      <w:r>
        <w:rPr>
          <w:rFonts w:hint="eastAsia" w:asciiTheme="minorEastAsia" w:hAnsiTheme="minorEastAsia" w:eastAsiaTheme="minorEastAsia"/>
          <w:b/>
          <w:sz w:val="28"/>
          <w:szCs w:val="28"/>
        </w:rPr>
        <w:t>（三）财政拨款支出决算具体情况</w:t>
      </w:r>
    </w:p>
    <w:p>
      <w:pPr>
        <w:pStyle w:val="10"/>
        <w:ind w:firstLine="980" w:firstLineChars="350"/>
        <w:rPr>
          <w:rFonts w:asciiTheme="minorEastAsia" w:hAnsiTheme="minorEastAsia" w:eastAsiaTheme="minorEastAsia"/>
          <w:sz w:val="28"/>
          <w:szCs w:val="28"/>
        </w:rPr>
      </w:pPr>
      <w:r>
        <w:rPr>
          <w:rFonts w:hint="eastAsia" w:asciiTheme="minorEastAsia" w:hAnsiTheme="minorEastAsia" w:eastAsiaTheme="minorEastAsia"/>
          <w:sz w:val="28"/>
          <w:szCs w:val="28"/>
        </w:rPr>
        <w:t>2021年度财政拨款支出年初预算数为7398.88万元，支出决算数为8014.36万元，完成年初预算的108.3%，其中：</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1、一般公共服务支出（类）市场监督管理事务（款）质量基础（项）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年初预算为4.10万元，支出决算7.79万元，</w:t>
      </w:r>
      <w:r>
        <w:rPr>
          <w:rFonts w:asciiTheme="minorEastAsia" w:hAnsiTheme="minorEastAsia" w:eastAsiaTheme="minorEastAsia"/>
          <w:sz w:val="28"/>
          <w:szCs w:val="28"/>
        </w:rPr>
        <w:t xml:space="preserve">完成年初预算的 </w:t>
      </w:r>
      <w:r>
        <w:rPr>
          <w:rFonts w:hint="eastAsia" w:asciiTheme="minorEastAsia" w:hAnsiTheme="minorEastAsia" w:eastAsiaTheme="minorEastAsia"/>
          <w:sz w:val="28"/>
          <w:szCs w:val="28"/>
        </w:rPr>
        <w:t>190</w:t>
      </w:r>
      <w:r>
        <w:rPr>
          <w:rFonts w:asciiTheme="minorEastAsia" w:hAnsiTheme="minorEastAsia" w:eastAsiaTheme="minorEastAsia"/>
          <w:sz w:val="28"/>
          <w:szCs w:val="28"/>
        </w:rPr>
        <w:t>%。</w:t>
      </w:r>
      <w:r>
        <w:rPr>
          <w:rFonts w:hint="eastAsia" w:asciiTheme="minorEastAsia" w:hAnsiTheme="minorEastAsia" w:eastAsiaTheme="minorEastAsia"/>
          <w:sz w:val="28"/>
          <w:szCs w:val="28"/>
        </w:rPr>
        <w:t>决算数大于年初预算数的主要原因是将</w:t>
      </w:r>
      <w:r>
        <w:rPr>
          <w:rFonts w:asciiTheme="minorEastAsia" w:hAnsiTheme="minorEastAsia" w:eastAsiaTheme="minorEastAsia"/>
          <w:sz w:val="28"/>
          <w:szCs w:val="28"/>
        </w:rPr>
        <w:t>年中追加安排的财政拨款</w:t>
      </w:r>
      <w:r>
        <w:rPr>
          <w:rFonts w:hint="eastAsia" w:asciiTheme="minorEastAsia" w:hAnsiTheme="minorEastAsia" w:eastAsiaTheme="minorEastAsia"/>
          <w:sz w:val="28"/>
          <w:szCs w:val="28"/>
        </w:rPr>
        <w:t>用于《紫薇在铅锌矿区污染地栽培技术规程》制定</w:t>
      </w:r>
      <w:r>
        <w:rPr>
          <w:rFonts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asciiTheme="minorEastAsia" w:hAnsiTheme="minorEastAsia" w:eastAsiaTheme="minorEastAsia"/>
          <w:sz w:val="28"/>
          <w:szCs w:val="28"/>
        </w:rPr>
        <w:t>科学技术支出（类）</w:t>
      </w:r>
      <w:r>
        <w:rPr>
          <w:rFonts w:hint="eastAsia" w:asciiTheme="minorEastAsia" w:hAnsiTheme="minorEastAsia" w:eastAsiaTheme="minorEastAsia"/>
          <w:sz w:val="28"/>
          <w:szCs w:val="28"/>
        </w:rPr>
        <w:t>基础研究</w:t>
      </w:r>
      <w:r>
        <w:rPr>
          <w:rFonts w:asciiTheme="minorEastAsia" w:hAnsiTheme="minorEastAsia" w:eastAsiaTheme="minorEastAsia"/>
          <w:sz w:val="28"/>
          <w:szCs w:val="28"/>
        </w:rPr>
        <w:t>（款）</w:t>
      </w:r>
      <w:r>
        <w:rPr>
          <w:rFonts w:hint="eastAsia" w:asciiTheme="minorEastAsia" w:hAnsiTheme="minorEastAsia" w:eastAsiaTheme="minorEastAsia"/>
          <w:sz w:val="28"/>
          <w:szCs w:val="28"/>
        </w:rPr>
        <w:t>自然科学基金</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年初预算为17.50万元，支出决算为17.51万元，</w:t>
      </w:r>
      <w:r>
        <w:rPr>
          <w:rFonts w:asciiTheme="minorEastAsia" w:hAnsiTheme="minorEastAsia" w:eastAsiaTheme="minorEastAsia"/>
          <w:sz w:val="28"/>
          <w:szCs w:val="28"/>
        </w:rPr>
        <w:t xml:space="preserve">完成年初预算的 </w:t>
      </w:r>
      <w:r>
        <w:rPr>
          <w:rFonts w:hint="eastAsia" w:asciiTheme="minorEastAsia" w:hAnsiTheme="minorEastAsia" w:eastAsiaTheme="minorEastAsia"/>
          <w:sz w:val="28"/>
          <w:szCs w:val="28"/>
        </w:rPr>
        <w:t>190</w:t>
      </w:r>
      <w:r>
        <w:rPr>
          <w:rFonts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3、</w:t>
      </w:r>
      <w:r>
        <w:rPr>
          <w:rFonts w:asciiTheme="minorEastAsia" w:hAnsiTheme="minorEastAsia" w:eastAsiaTheme="minorEastAsia"/>
          <w:sz w:val="28"/>
          <w:szCs w:val="28"/>
        </w:rPr>
        <w:t>科学技术支出（类）</w:t>
      </w:r>
      <w:r>
        <w:rPr>
          <w:rFonts w:hint="eastAsia" w:asciiTheme="minorEastAsia" w:hAnsiTheme="minorEastAsia" w:eastAsiaTheme="minorEastAsia"/>
          <w:sz w:val="28"/>
          <w:szCs w:val="28"/>
        </w:rPr>
        <w:t>基础研究</w:t>
      </w:r>
      <w:r>
        <w:rPr>
          <w:rFonts w:asciiTheme="minorEastAsia" w:hAnsiTheme="minorEastAsia" w:eastAsiaTheme="minorEastAsia"/>
          <w:sz w:val="28"/>
          <w:szCs w:val="28"/>
        </w:rPr>
        <w:t>（款）</w:t>
      </w:r>
      <w:r>
        <w:rPr>
          <w:rFonts w:hint="eastAsia" w:asciiTheme="minorEastAsia" w:hAnsiTheme="minorEastAsia" w:eastAsiaTheme="minorEastAsia"/>
          <w:sz w:val="28"/>
          <w:szCs w:val="28"/>
        </w:rPr>
        <w:t>实验室及相关设施</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年初预算为0万元，支出决算为298.11万元，决算数大于年初预算数的主要原因是将</w:t>
      </w:r>
      <w:r>
        <w:rPr>
          <w:rFonts w:asciiTheme="minorEastAsia" w:hAnsiTheme="minorEastAsia" w:eastAsiaTheme="minorEastAsia"/>
          <w:sz w:val="28"/>
          <w:szCs w:val="28"/>
        </w:rPr>
        <w:t>年中追加安排的财政拨款用于省部共建木本油料资源利用国家重点实验室支出。</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4、</w:t>
      </w:r>
      <w:r>
        <w:rPr>
          <w:rFonts w:asciiTheme="minorEastAsia" w:hAnsiTheme="minorEastAsia" w:eastAsiaTheme="minorEastAsia"/>
          <w:sz w:val="28"/>
          <w:szCs w:val="28"/>
        </w:rPr>
        <w:t>科学技术支出（类）</w:t>
      </w:r>
      <w:r>
        <w:rPr>
          <w:rFonts w:hint="eastAsia" w:asciiTheme="minorEastAsia" w:hAnsiTheme="minorEastAsia" w:eastAsiaTheme="minorEastAsia"/>
          <w:sz w:val="28"/>
          <w:szCs w:val="28"/>
        </w:rPr>
        <w:t>应用研究</w:t>
      </w:r>
      <w:r>
        <w:rPr>
          <w:rFonts w:asciiTheme="minorEastAsia" w:hAnsiTheme="minorEastAsia" w:eastAsiaTheme="minorEastAsia"/>
          <w:sz w:val="28"/>
          <w:szCs w:val="28"/>
        </w:rPr>
        <w:t>（款）</w:t>
      </w:r>
      <w:r>
        <w:rPr>
          <w:rFonts w:hint="eastAsia" w:asciiTheme="minorEastAsia" w:hAnsiTheme="minorEastAsia" w:eastAsiaTheme="minorEastAsia"/>
          <w:sz w:val="28"/>
          <w:szCs w:val="28"/>
        </w:rPr>
        <w:t>机构运行</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年初预算为2823.38万元，支出决算为2728.74万元，</w:t>
      </w:r>
      <w:r>
        <w:rPr>
          <w:rFonts w:asciiTheme="minorEastAsia" w:hAnsiTheme="minorEastAsia" w:eastAsiaTheme="minorEastAsia"/>
          <w:sz w:val="28"/>
          <w:szCs w:val="28"/>
        </w:rPr>
        <w:t xml:space="preserve">完成年初预算的 </w:t>
      </w:r>
      <w:r>
        <w:rPr>
          <w:rFonts w:hint="eastAsia" w:asciiTheme="minorEastAsia" w:hAnsiTheme="minorEastAsia" w:eastAsiaTheme="minorEastAsia"/>
          <w:sz w:val="28"/>
          <w:szCs w:val="28"/>
        </w:rPr>
        <w:t>96.6</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小</w:t>
      </w:r>
      <w:r>
        <w:rPr>
          <w:rFonts w:asciiTheme="minorEastAsia" w:hAnsiTheme="minorEastAsia" w:eastAsiaTheme="minorEastAsia"/>
          <w:sz w:val="28"/>
          <w:szCs w:val="28"/>
        </w:rPr>
        <w:t>于预算数的主要原因是</w:t>
      </w:r>
      <w:r>
        <w:rPr>
          <w:rFonts w:hint="eastAsia" w:ascii="宋体" w:hAnsi="宋体" w:eastAsia="宋体"/>
          <w:sz w:val="28"/>
          <w:szCs w:val="28"/>
        </w:rPr>
        <w:t>本年实际上缴国有资产有偿使用收入870万元</w:t>
      </w:r>
      <w:r>
        <w:rPr>
          <w:rFonts w:hint="eastAsia" w:asciiTheme="minorEastAsia" w:hAnsiTheme="minorEastAsia" w:eastAsiaTheme="minorEastAsia"/>
          <w:sz w:val="28"/>
          <w:szCs w:val="28"/>
        </w:rPr>
        <w:t>，比预算少缴630万元，有部分人员经费指标未使用。</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5、</w:t>
      </w:r>
      <w:r>
        <w:rPr>
          <w:rFonts w:asciiTheme="minorEastAsia" w:hAnsiTheme="minorEastAsia" w:eastAsiaTheme="minorEastAsia"/>
          <w:sz w:val="28"/>
          <w:szCs w:val="28"/>
        </w:rPr>
        <w:t>科学技术支出（类）</w:t>
      </w:r>
      <w:r>
        <w:rPr>
          <w:rFonts w:hint="eastAsia" w:asciiTheme="minorEastAsia" w:hAnsiTheme="minorEastAsia" w:eastAsiaTheme="minorEastAsia"/>
          <w:sz w:val="28"/>
          <w:szCs w:val="28"/>
        </w:rPr>
        <w:t>应用研究</w:t>
      </w:r>
      <w:r>
        <w:rPr>
          <w:rFonts w:asciiTheme="minorEastAsia" w:hAnsiTheme="minorEastAsia" w:eastAsiaTheme="minorEastAsia"/>
          <w:sz w:val="28"/>
          <w:szCs w:val="28"/>
        </w:rPr>
        <w:t>（款）</w:t>
      </w:r>
      <w:r>
        <w:rPr>
          <w:rFonts w:hint="eastAsia" w:asciiTheme="minorEastAsia" w:hAnsiTheme="minorEastAsia" w:eastAsiaTheme="minorEastAsia"/>
          <w:sz w:val="28"/>
          <w:szCs w:val="28"/>
        </w:rPr>
        <w:t>社会公益研究</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年初预算为500.00万元，支出决算为0，</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小</w:t>
      </w:r>
      <w:r>
        <w:rPr>
          <w:rFonts w:asciiTheme="minorEastAsia" w:hAnsiTheme="minorEastAsia" w:eastAsiaTheme="minorEastAsia"/>
          <w:sz w:val="28"/>
          <w:szCs w:val="28"/>
        </w:rPr>
        <w:t>于预算数的主要原因是</w:t>
      </w:r>
      <w:r>
        <w:rPr>
          <w:rFonts w:hint="eastAsia" w:ascii="宋体" w:hAnsi="宋体" w:eastAsia="宋体"/>
          <w:sz w:val="28"/>
          <w:szCs w:val="28"/>
        </w:rPr>
        <w:t>本年实际上缴国有资产有偿使用收入870万元</w:t>
      </w:r>
      <w:r>
        <w:rPr>
          <w:rFonts w:hint="eastAsia" w:asciiTheme="minorEastAsia" w:hAnsiTheme="minorEastAsia" w:eastAsiaTheme="minorEastAsia"/>
          <w:sz w:val="28"/>
          <w:szCs w:val="28"/>
        </w:rPr>
        <w:t>，比预算少缴630万元，此项预算未开支</w:t>
      </w:r>
      <w:r>
        <w:rPr>
          <w:rFonts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6、</w:t>
      </w:r>
      <w:r>
        <w:rPr>
          <w:rFonts w:asciiTheme="minorEastAsia" w:hAnsiTheme="minorEastAsia" w:eastAsiaTheme="minorEastAsia"/>
          <w:sz w:val="28"/>
          <w:szCs w:val="28"/>
        </w:rPr>
        <w:t>科学技术支出（类）</w:t>
      </w:r>
      <w:r>
        <w:rPr>
          <w:rFonts w:hint="eastAsia" w:asciiTheme="minorEastAsia" w:hAnsiTheme="minorEastAsia" w:eastAsiaTheme="minorEastAsia"/>
          <w:sz w:val="28"/>
          <w:szCs w:val="28"/>
        </w:rPr>
        <w:t>应用研究</w:t>
      </w:r>
      <w:r>
        <w:rPr>
          <w:rFonts w:asciiTheme="minorEastAsia" w:hAnsiTheme="minorEastAsia" w:eastAsiaTheme="minorEastAsia"/>
          <w:sz w:val="28"/>
          <w:szCs w:val="28"/>
        </w:rPr>
        <w:t>（款）</w:t>
      </w:r>
      <w:r>
        <w:rPr>
          <w:rFonts w:hint="eastAsia" w:asciiTheme="minorEastAsia" w:hAnsiTheme="minorEastAsia" w:eastAsiaTheme="minorEastAsia"/>
          <w:sz w:val="28"/>
          <w:szCs w:val="28"/>
        </w:rPr>
        <w:t>高技术研究</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年初预算为20.00万元，支出决算为20.00万元，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100</w:t>
      </w:r>
      <w:r>
        <w:rPr>
          <w:rFonts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7、</w:t>
      </w:r>
      <w:r>
        <w:rPr>
          <w:rFonts w:asciiTheme="minorEastAsia" w:hAnsiTheme="minorEastAsia" w:eastAsiaTheme="minorEastAsia"/>
          <w:sz w:val="28"/>
          <w:szCs w:val="28"/>
        </w:rPr>
        <w:t>科学技术支出（类）</w:t>
      </w:r>
      <w:r>
        <w:rPr>
          <w:rFonts w:hint="eastAsia" w:asciiTheme="minorEastAsia" w:hAnsiTheme="minorEastAsia" w:eastAsiaTheme="minorEastAsia"/>
          <w:sz w:val="28"/>
          <w:szCs w:val="28"/>
        </w:rPr>
        <w:t>科技条件与服务</w:t>
      </w:r>
      <w:r>
        <w:rPr>
          <w:rFonts w:asciiTheme="minorEastAsia" w:hAnsiTheme="minorEastAsia" w:eastAsiaTheme="minorEastAsia"/>
          <w:sz w:val="28"/>
          <w:szCs w:val="28"/>
        </w:rPr>
        <w:t>（款）</w:t>
      </w:r>
      <w:r>
        <w:rPr>
          <w:rFonts w:hint="eastAsia" w:asciiTheme="minorEastAsia" w:hAnsiTheme="minorEastAsia" w:eastAsiaTheme="minorEastAsia"/>
          <w:sz w:val="28"/>
          <w:szCs w:val="28"/>
        </w:rPr>
        <w:t>科技条件专项</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年初预算为492.40万元，支出决算为494.44万元，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100.4</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于预算数的主要原因是年中追加安排</w:t>
      </w:r>
      <w:r>
        <w:rPr>
          <w:rFonts w:hint="eastAsia" w:asciiTheme="minorEastAsia" w:hAnsiTheme="minorEastAsia" w:eastAsiaTheme="minorEastAsia"/>
          <w:sz w:val="28"/>
          <w:szCs w:val="28"/>
        </w:rPr>
        <w:t>2万元科研设施和仪器开放共享服务后补助</w:t>
      </w:r>
      <w:r>
        <w:rPr>
          <w:rFonts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8、</w:t>
      </w:r>
      <w:r>
        <w:rPr>
          <w:rFonts w:asciiTheme="minorEastAsia" w:hAnsiTheme="minorEastAsia" w:eastAsiaTheme="minorEastAsia"/>
          <w:sz w:val="28"/>
          <w:szCs w:val="28"/>
        </w:rPr>
        <w:t>科学技术支出（类）</w:t>
      </w:r>
      <w:r>
        <w:rPr>
          <w:rFonts w:hint="eastAsia" w:asciiTheme="minorEastAsia" w:hAnsiTheme="minorEastAsia" w:eastAsiaTheme="minorEastAsia"/>
          <w:sz w:val="28"/>
          <w:szCs w:val="28"/>
        </w:rPr>
        <w:t>科技条件与服务</w:t>
      </w:r>
      <w:r>
        <w:rPr>
          <w:rFonts w:asciiTheme="minorEastAsia" w:hAnsiTheme="minorEastAsia" w:eastAsiaTheme="minorEastAsia"/>
          <w:sz w:val="28"/>
          <w:szCs w:val="28"/>
        </w:rPr>
        <w:t>（款）</w:t>
      </w:r>
      <w:r>
        <w:rPr>
          <w:rFonts w:hint="eastAsia" w:asciiTheme="minorEastAsia" w:hAnsiTheme="minorEastAsia" w:eastAsiaTheme="minorEastAsia"/>
          <w:sz w:val="28"/>
          <w:szCs w:val="28"/>
        </w:rPr>
        <w:t>其他科技条件与服务支出</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年初预算为100.00万元，支出决算为100.09万元，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100.1</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于预算数的主要原因是年中追加安排</w:t>
      </w:r>
      <w:r>
        <w:rPr>
          <w:rFonts w:hint="eastAsia" w:asciiTheme="minorEastAsia" w:hAnsiTheme="minorEastAsia" w:eastAsiaTheme="minorEastAsia"/>
          <w:sz w:val="28"/>
          <w:szCs w:val="28"/>
        </w:rPr>
        <w:t>的</w:t>
      </w:r>
      <w:r>
        <w:rPr>
          <w:rFonts w:asciiTheme="minorEastAsia" w:hAnsiTheme="minorEastAsia" w:eastAsiaTheme="minorEastAsia"/>
          <w:sz w:val="28"/>
          <w:szCs w:val="28"/>
        </w:rPr>
        <w:t>财政拨款用于</w:t>
      </w:r>
      <w:r>
        <w:rPr>
          <w:rFonts w:hint="eastAsia" w:asciiTheme="minorEastAsia" w:hAnsiTheme="minorEastAsia" w:eastAsiaTheme="minorEastAsia"/>
          <w:sz w:val="28"/>
          <w:szCs w:val="28"/>
        </w:rPr>
        <w:t>省优秀博士后创新人才支出</w:t>
      </w:r>
      <w:r>
        <w:rPr>
          <w:rFonts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9、</w:t>
      </w:r>
      <w:r>
        <w:rPr>
          <w:rFonts w:asciiTheme="minorEastAsia" w:hAnsiTheme="minorEastAsia" w:eastAsiaTheme="minorEastAsia"/>
          <w:sz w:val="28"/>
          <w:szCs w:val="28"/>
        </w:rPr>
        <w:t>科学技术支出（类）</w:t>
      </w:r>
      <w:r>
        <w:rPr>
          <w:rFonts w:hint="eastAsia" w:asciiTheme="minorEastAsia" w:hAnsiTheme="minorEastAsia" w:eastAsiaTheme="minorEastAsia"/>
          <w:sz w:val="28"/>
          <w:szCs w:val="28"/>
        </w:rPr>
        <w:t>科学技术普及</w:t>
      </w:r>
      <w:r>
        <w:rPr>
          <w:rFonts w:asciiTheme="minorEastAsia" w:hAnsiTheme="minorEastAsia" w:eastAsiaTheme="minorEastAsia"/>
          <w:sz w:val="28"/>
          <w:szCs w:val="28"/>
        </w:rPr>
        <w:t>（款）</w:t>
      </w:r>
      <w:r>
        <w:rPr>
          <w:rFonts w:hint="eastAsia" w:asciiTheme="minorEastAsia" w:hAnsiTheme="minorEastAsia" w:eastAsiaTheme="minorEastAsia"/>
          <w:sz w:val="28"/>
          <w:szCs w:val="28"/>
        </w:rPr>
        <w:t>学术交流活动</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年初预算为11.40万元，支出决算为13.04万元，</w:t>
      </w:r>
      <w:r>
        <w:rPr>
          <w:rFonts w:asciiTheme="minorEastAsia" w:hAnsiTheme="minorEastAsia" w:eastAsiaTheme="minorEastAsia"/>
          <w:sz w:val="28"/>
          <w:szCs w:val="28"/>
        </w:rPr>
        <w:t xml:space="preserve">完成年初预算的 </w:t>
      </w:r>
      <w:r>
        <w:rPr>
          <w:rFonts w:hint="eastAsia" w:asciiTheme="minorEastAsia" w:hAnsiTheme="minorEastAsia" w:eastAsiaTheme="minorEastAsia"/>
          <w:sz w:val="28"/>
          <w:szCs w:val="28"/>
        </w:rPr>
        <w:t>114.4</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w:t>
      </w:r>
      <w:r>
        <w:rPr>
          <w:rFonts w:hint="eastAsia" w:asciiTheme="minorEastAsia" w:hAnsiTheme="minorEastAsia" w:eastAsiaTheme="minorEastAsia"/>
          <w:sz w:val="28"/>
          <w:szCs w:val="28"/>
        </w:rPr>
        <w:t>将</w:t>
      </w:r>
      <w:r>
        <w:rPr>
          <w:rFonts w:asciiTheme="minorEastAsia" w:hAnsiTheme="minorEastAsia" w:eastAsiaTheme="minorEastAsia"/>
          <w:sz w:val="28"/>
          <w:szCs w:val="28"/>
        </w:rPr>
        <w:t>年中追加的财政拨款用于院士后备人才培养计划支出。</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10、</w:t>
      </w:r>
      <w:r>
        <w:rPr>
          <w:rFonts w:asciiTheme="minorEastAsia" w:hAnsiTheme="minorEastAsia" w:eastAsiaTheme="minorEastAsia"/>
          <w:sz w:val="28"/>
          <w:szCs w:val="28"/>
        </w:rPr>
        <w:t>科学技术支出（类）</w:t>
      </w:r>
      <w:r>
        <w:rPr>
          <w:rFonts w:hint="eastAsia" w:asciiTheme="minorEastAsia" w:hAnsiTheme="minorEastAsia" w:eastAsiaTheme="minorEastAsia"/>
          <w:sz w:val="28"/>
          <w:szCs w:val="28"/>
        </w:rPr>
        <w:t>科技重大项目</w:t>
      </w:r>
      <w:r>
        <w:rPr>
          <w:rFonts w:asciiTheme="minorEastAsia" w:hAnsiTheme="minorEastAsia" w:eastAsiaTheme="minorEastAsia"/>
          <w:sz w:val="28"/>
          <w:szCs w:val="28"/>
        </w:rPr>
        <w:t>（款）</w:t>
      </w:r>
      <w:r>
        <w:rPr>
          <w:rFonts w:hint="eastAsia" w:asciiTheme="minorEastAsia" w:hAnsiTheme="minorEastAsia" w:eastAsiaTheme="minorEastAsia"/>
          <w:sz w:val="28"/>
          <w:szCs w:val="28"/>
        </w:rPr>
        <w:t>重点研发计划</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年初预算为100.00万元，支出决算为100.00万元，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100</w:t>
      </w:r>
      <w:r>
        <w:rPr>
          <w:rFonts w:asciiTheme="minorEastAsia" w:hAnsiTheme="minorEastAsia" w:eastAsiaTheme="minorEastAsia"/>
          <w:sz w:val="28"/>
          <w:szCs w:val="28"/>
        </w:rPr>
        <w:t>%</w:t>
      </w:r>
      <w:r>
        <w:rPr>
          <w:rFonts w:hint="eastAsia"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11、</w:t>
      </w:r>
      <w:r>
        <w:rPr>
          <w:rFonts w:asciiTheme="minorEastAsia" w:hAnsiTheme="minorEastAsia" w:eastAsiaTheme="minorEastAsia"/>
          <w:sz w:val="28"/>
          <w:szCs w:val="28"/>
        </w:rPr>
        <w:t>科学技术支出（类）</w:t>
      </w:r>
      <w:r>
        <w:rPr>
          <w:rFonts w:hint="eastAsia" w:asciiTheme="minorEastAsia" w:hAnsiTheme="minorEastAsia" w:eastAsiaTheme="minorEastAsia"/>
          <w:sz w:val="28"/>
          <w:szCs w:val="28"/>
        </w:rPr>
        <w:t>其他科学技术支出</w:t>
      </w:r>
      <w:r>
        <w:rPr>
          <w:rFonts w:asciiTheme="minorEastAsia" w:hAnsiTheme="minorEastAsia" w:eastAsiaTheme="minorEastAsia"/>
          <w:sz w:val="28"/>
          <w:szCs w:val="28"/>
        </w:rPr>
        <w:t>（款）</w:t>
      </w:r>
      <w:r>
        <w:rPr>
          <w:rFonts w:hint="eastAsia" w:asciiTheme="minorEastAsia" w:hAnsiTheme="minorEastAsia" w:eastAsiaTheme="minorEastAsia"/>
          <w:sz w:val="28"/>
          <w:szCs w:val="28"/>
        </w:rPr>
        <w:t>科技奖励</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年初预算为0万元，支出决算为5.00万元，</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w:t>
      </w:r>
      <w:r>
        <w:rPr>
          <w:rFonts w:hint="eastAsia" w:asciiTheme="minorEastAsia" w:hAnsiTheme="minorEastAsia" w:eastAsiaTheme="minorEastAsia"/>
          <w:sz w:val="28"/>
          <w:szCs w:val="28"/>
        </w:rPr>
        <w:t>《白蜡虫规模繁育及蜡花高产关键技术研究与示范》获省科技进步奖。</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12、社会保障和就业支出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行政事业单位养老支出</w:t>
      </w:r>
      <w:r>
        <w:rPr>
          <w:rFonts w:asciiTheme="minorEastAsia" w:hAnsiTheme="minorEastAsia" w:eastAsiaTheme="minorEastAsia"/>
          <w:sz w:val="28"/>
          <w:szCs w:val="28"/>
        </w:rPr>
        <w:t>（款）</w:t>
      </w:r>
      <w:r>
        <w:rPr>
          <w:rFonts w:hint="eastAsia" w:asciiTheme="minorEastAsia" w:hAnsiTheme="minorEastAsia" w:eastAsiaTheme="minorEastAsia"/>
          <w:sz w:val="28"/>
          <w:szCs w:val="28"/>
        </w:rPr>
        <w:t>事业单位离退休</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年初预算为0万元，支出决算为0.74万元</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于预算数的主要原因是年中</w:t>
      </w:r>
      <w:r>
        <w:rPr>
          <w:rFonts w:hint="eastAsia" w:asciiTheme="minorEastAsia" w:hAnsiTheme="minorEastAsia" w:eastAsiaTheme="minorEastAsia"/>
          <w:sz w:val="28"/>
          <w:szCs w:val="28"/>
        </w:rPr>
        <w:t>追加0.74万元退休干部医疗补贴和生活补贴。</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13、社会保障和就业支出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行政事业单位养老支出</w:t>
      </w:r>
      <w:r>
        <w:rPr>
          <w:rFonts w:asciiTheme="minorEastAsia" w:hAnsiTheme="minorEastAsia" w:eastAsiaTheme="minorEastAsia"/>
          <w:sz w:val="28"/>
          <w:szCs w:val="28"/>
        </w:rPr>
        <w:t>（款）</w:t>
      </w:r>
      <w:r>
        <w:rPr>
          <w:rFonts w:hint="eastAsia" w:asciiTheme="minorEastAsia" w:hAnsiTheme="minorEastAsia" w:eastAsiaTheme="minorEastAsia"/>
          <w:sz w:val="28"/>
          <w:szCs w:val="28"/>
        </w:rPr>
        <w:t>机关事业单位基本养老保险缴费支出</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年初预算为350.00万元，支出决算为350.00万元，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100</w:t>
      </w:r>
      <w:r>
        <w:rPr>
          <w:rFonts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14、社会保障和就业支出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行政事业单位养老支出</w:t>
      </w:r>
      <w:r>
        <w:rPr>
          <w:rFonts w:asciiTheme="minorEastAsia" w:hAnsiTheme="minorEastAsia" w:eastAsiaTheme="minorEastAsia"/>
          <w:sz w:val="28"/>
          <w:szCs w:val="28"/>
        </w:rPr>
        <w:t>（款）</w:t>
      </w:r>
      <w:r>
        <w:rPr>
          <w:rFonts w:hint="eastAsia" w:asciiTheme="minorEastAsia" w:hAnsiTheme="minorEastAsia" w:eastAsiaTheme="minorEastAsia"/>
          <w:sz w:val="28"/>
          <w:szCs w:val="28"/>
        </w:rPr>
        <w:t>机关事业单位职业年金缴费支出</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年初预算为180.00万元，支出决算180.00万元，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100</w:t>
      </w:r>
      <w:r>
        <w:rPr>
          <w:rFonts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15、节能环保支出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天然林保护</w:t>
      </w:r>
      <w:r>
        <w:rPr>
          <w:rFonts w:asciiTheme="minorEastAsia" w:hAnsiTheme="minorEastAsia" w:eastAsiaTheme="minorEastAsia"/>
          <w:sz w:val="28"/>
          <w:szCs w:val="28"/>
        </w:rPr>
        <w:t>（款）</w:t>
      </w:r>
      <w:r>
        <w:rPr>
          <w:rFonts w:hint="eastAsia" w:asciiTheme="minorEastAsia" w:hAnsiTheme="minorEastAsia" w:eastAsiaTheme="minorEastAsia"/>
          <w:sz w:val="28"/>
          <w:szCs w:val="28"/>
        </w:rPr>
        <w:t>停伐补助</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年初预算为0万元，支出决算为5.00万元，</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w:t>
      </w:r>
      <w:r>
        <w:rPr>
          <w:rFonts w:hint="eastAsia" w:asciiTheme="minorEastAsia" w:hAnsiTheme="minorEastAsia" w:eastAsiaTheme="minorEastAsia"/>
          <w:sz w:val="28"/>
          <w:szCs w:val="28"/>
        </w:rPr>
        <w:t>将</w:t>
      </w:r>
      <w:r>
        <w:rPr>
          <w:rFonts w:asciiTheme="minorEastAsia" w:hAnsiTheme="minorEastAsia" w:eastAsiaTheme="minorEastAsia"/>
          <w:sz w:val="28"/>
          <w:szCs w:val="28"/>
        </w:rPr>
        <w:t>年中追加的财政拨款用于天然林商业性停伐补助支出。</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16、农林水支出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农业农村</w:t>
      </w:r>
      <w:r>
        <w:rPr>
          <w:rFonts w:asciiTheme="minorEastAsia" w:hAnsiTheme="minorEastAsia" w:eastAsiaTheme="minorEastAsia"/>
          <w:sz w:val="28"/>
          <w:szCs w:val="28"/>
        </w:rPr>
        <w:t>（款）</w:t>
      </w:r>
      <w:r>
        <w:rPr>
          <w:rFonts w:hint="eastAsia" w:asciiTheme="minorEastAsia" w:hAnsiTheme="minorEastAsia" w:eastAsiaTheme="minorEastAsia"/>
          <w:sz w:val="28"/>
          <w:szCs w:val="28"/>
        </w:rPr>
        <w:t>农垦运行</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年初预算为0万元，支出决算为75.61万元，</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w:t>
      </w:r>
      <w:r>
        <w:rPr>
          <w:rFonts w:hint="eastAsia" w:asciiTheme="minorEastAsia" w:hAnsiTheme="minorEastAsia" w:eastAsiaTheme="minorEastAsia"/>
          <w:sz w:val="28"/>
          <w:szCs w:val="28"/>
        </w:rPr>
        <w:t>将</w:t>
      </w:r>
      <w:r>
        <w:rPr>
          <w:rFonts w:asciiTheme="minorEastAsia" w:hAnsiTheme="minorEastAsia" w:eastAsiaTheme="minorEastAsia"/>
          <w:sz w:val="28"/>
          <w:szCs w:val="28"/>
        </w:rPr>
        <w:t>年中追加的财政拨款用于</w:t>
      </w:r>
      <w:r>
        <w:rPr>
          <w:rFonts w:hint="eastAsia" w:asciiTheme="minorEastAsia" w:hAnsiTheme="minorEastAsia" w:eastAsiaTheme="minorEastAsia"/>
          <w:sz w:val="28"/>
          <w:szCs w:val="28"/>
        </w:rPr>
        <w:t>国家油茶种质资源库、光皮树、山苍子良种基地良种繁育补助及杉木、水杉、板栗等种质资源收集与繁育支出</w:t>
      </w:r>
      <w:r>
        <w:rPr>
          <w:rFonts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17、农林水支出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农业农村</w:t>
      </w:r>
      <w:r>
        <w:rPr>
          <w:rFonts w:asciiTheme="minorEastAsia" w:hAnsiTheme="minorEastAsia" w:eastAsiaTheme="minorEastAsia"/>
          <w:sz w:val="28"/>
          <w:szCs w:val="28"/>
        </w:rPr>
        <w:t>（款）</w:t>
      </w:r>
      <w:r>
        <w:rPr>
          <w:rFonts w:hint="eastAsia" w:asciiTheme="minorEastAsia" w:hAnsiTheme="minorEastAsia" w:eastAsiaTheme="minorEastAsia"/>
          <w:sz w:val="28"/>
          <w:szCs w:val="28"/>
        </w:rPr>
        <w:t>病虫害控制</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年初预算为0万元，支出决算为60.68万元，</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w:t>
      </w:r>
      <w:r>
        <w:rPr>
          <w:rFonts w:hint="eastAsia" w:asciiTheme="minorEastAsia" w:hAnsiTheme="minorEastAsia" w:eastAsiaTheme="minorEastAsia"/>
          <w:sz w:val="28"/>
          <w:szCs w:val="28"/>
        </w:rPr>
        <w:t>将</w:t>
      </w:r>
      <w:r>
        <w:rPr>
          <w:rFonts w:asciiTheme="minorEastAsia" w:hAnsiTheme="minorEastAsia" w:eastAsiaTheme="minorEastAsia"/>
          <w:sz w:val="28"/>
          <w:szCs w:val="28"/>
        </w:rPr>
        <w:t>年中追加的财政拨款用于</w:t>
      </w:r>
      <w:r>
        <w:rPr>
          <w:rFonts w:hint="eastAsia" w:asciiTheme="minorEastAsia" w:hAnsiTheme="minorEastAsia" w:eastAsiaTheme="minorEastAsia"/>
          <w:sz w:val="28"/>
          <w:szCs w:val="28"/>
        </w:rPr>
        <w:t>林业有害生物防治补助支出</w:t>
      </w:r>
      <w:r>
        <w:rPr>
          <w:rFonts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18、农林水支出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农业农村</w:t>
      </w:r>
      <w:r>
        <w:rPr>
          <w:rFonts w:asciiTheme="minorEastAsia" w:hAnsiTheme="minorEastAsia" w:eastAsiaTheme="minorEastAsia"/>
          <w:sz w:val="28"/>
          <w:szCs w:val="28"/>
        </w:rPr>
        <w:t>（款）</w:t>
      </w:r>
      <w:r>
        <w:rPr>
          <w:rFonts w:hint="eastAsia" w:asciiTheme="minorEastAsia" w:hAnsiTheme="minorEastAsia" w:eastAsiaTheme="minorEastAsia"/>
          <w:sz w:val="28"/>
          <w:szCs w:val="28"/>
        </w:rPr>
        <w:t>农业生产发展</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年初预算为0万元，支出决算为3.48万元，</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w:t>
      </w:r>
      <w:r>
        <w:rPr>
          <w:rFonts w:hint="eastAsia" w:asciiTheme="minorEastAsia" w:hAnsiTheme="minorEastAsia" w:eastAsiaTheme="minorEastAsia"/>
          <w:sz w:val="28"/>
          <w:szCs w:val="28"/>
        </w:rPr>
        <w:t>将</w:t>
      </w:r>
      <w:r>
        <w:rPr>
          <w:rFonts w:asciiTheme="minorEastAsia" w:hAnsiTheme="minorEastAsia" w:eastAsiaTheme="minorEastAsia"/>
          <w:sz w:val="28"/>
          <w:szCs w:val="28"/>
        </w:rPr>
        <w:t>年中追加的财政拨款用于</w:t>
      </w:r>
      <w:r>
        <w:rPr>
          <w:rFonts w:hint="eastAsia" w:asciiTheme="minorEastAsia" w:hAnsiTheme="minorEastAsia" w:eastAsiaTheme="minorEastAsia"/>
          <w:sz w:val="28"/>
          <w:szCs w:val="28"/>
        </w:rPr>
        <w:t>食药用菌种质资源系统调查和“湘九味”中药材产业集群标准体系建设支出</w:t>
      </w:r>
      <w:r>
        <w:rPr>
          <w:rFonts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19、农林水支出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农业农村</w:t>
      </w:r>
      <w:r>
        <w:rPr>
          <w:rFonts w:asciiTheme="minorEastAsia" w:hAnsiTheme="minorEastAsia" w:eastAsiaTheme="minorEastAsia"/>
          <w:sz w:val="28"/>
          <w:szCs w:val="28"/>
        </w:rPr>
        <w:t>（款）</w:t>
      </w:r>
      <w:r>
        <w:rPr>
          <w:rFonts w:hint="eastAsia" w:asciiTheme="minorEastAsia" w:hAnsiTheme="minorEastAsia" w:eastAsiaTheme="minorEastAsia"/>
          <w:sz w:val="28"/>
          <w:szCs w:val="28"/>
        </w:rPr>
        <w:t>其他农业农村支出</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年初预算为5.60万元，支出决算为5.60万元，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100</w:t>
      </w:r>
      <w:r>
        <w:rPr>
          <w:rFonts w:asciiTheme="minorEastAsia" w:hAnsiTheme="minorEastAsia" w:eastAsiaTheme="minorEastAsia"/>
          <w:sz w:val="28"/>
          <w:szCs w:val="28"/>
        </w:rPr>
        <w:t>%</w:t>
      </w:r>
      <w:r>
        <w:rPr>
          <w:rFonts w:hint="eastAsia"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20、农林水支出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林业和草原</w:t>
      </w:r>
      <w:r>
        <w:rPr>
          <w:rFonts w:asciiTheme="minorEastAsia" w:hAnsiTheme="minorEastAsia" w:eastAsiaTheme="minorEastAsia"/>
          <w:sz w:val="28"/>
          <w:szCs w:val="28"/>
        </w:rPr>
        <w:t>（款）</w:t>
      </w:r>
      <w:r>
        <w:rPr>
          <w:rFonts w:hint="eastAsia" w:asciiTheme="minorEastAsia" w:hAnsiTheme="minorEastAsia" w:eastAsiaTheme="minorEastAsia"/>
          <w:sz w:val="28"/>
          <w:szCs w:val="28"/>
        </w:rPr>
        <w:t>森林资源培育</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年初预算为25.90万元，支出决算为45.05万元，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173.9</w:t>
      </w:r>
      <w:r>
        <w:rPr>
          <w:rFonts w:asciiTheme="minorEastAsia" w:hAnsiTheme="minorEastAsia" w:eastAsiaTheme="minorEastAsia"/>
          <w:sz w:val="28"/>
          <w:szCs w:val="28"/>
        </w:rPr>
        <w:t>%</w:t>
      </w:r>
      <w:r>
        <w:rPr>
          <w:rFonts w:hint="eastAsia" w:asciiTheme="minorEastAsia" w:hAnsiTheme="minorEastAsia" w:eastAsiaTheme="minorEastAsia"/>
          <w:sz w:val="28"/>
          <w:szCs w:val="28"/>
        </w:rPr>
        <w:t>。</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w:t>
      </w:r>
      <w:r>
        <w:rPr>
          <w:rFonts w:hint="eastAsia" w:asciiTheme="minorEastAsia" w:hAnsiTheme="minorEastAsia" w:eastAsiaTheme="minorEastAsia"/>
          <w:sz w:val="28"/>
          <w:szCs w:val="28"/>
        </w:rPr>
        <w:t>将</w:t>
      </w:r>
      <w:r>
        <w:rPr>
          <w:rFonts w:asciiTheme="minorEastAsia" w:hAnsiTheme="minorEastAsia" w:eastAsiaTheme="minorEastAsia"/>
          <w:sz w:val="28"/>
          <w:szCs w:val="28"/>
        </w:rPr>
        <w:t>年中追加的财政拨款用于</w:t>
      </w:r>
      <w:r>
        <w:rPr>
          <w:rFonts w:hint="eastAsia" w:asciiTheme="minorEastAsia" w:hAnsiTheme="minorEastAsia" w:eastAsiaTheme="minorEastAsia"/>
          <w:sz w:val="28"/>
          <w:szCs w:val="28"/>
        </w:rPr>
        <w:t>森林抚育补助支出</w:t>
      </w:r>
      <w:r>
        <w:rPr>
          <w:rFonts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21、农林水支出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林业和草原</w:t>
      </w:r>
      <w:r>
        <w:rPr>
          <w:rFonts w:asciiTheme="minorEastAsia" w:hAnsiTheme="minorEastAsia" w:eastAsiaTheme="minorEastAsia"/>
          <w:sz w:val="28"/>
          <w:szCs w:val="28"/>
        </w:rPr>
        <w:t>（款）</w:t>
      </w:r>
      <w:r>
        <w:rPr>
          <w:rFonts w:hint="eastAsia" w:asciiTheme="minorEastAsia" w:hAnsiTheme="minorEastAsia" w:eastAsiaTheme="minorEastAsia"/>
          <w:sz w:val="28"/>
          <w:szCs w:val="28"/>
        </w:rPr>
        <w:t>技术推广与转化</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年初预算为254.60万元，支出决算为402.38万元，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158</w:t>
      </w:r>
      <w:r>
        <w:rPr>
          <w:rFonts w:asciiTheme="minorEastAsia" w:hAnsiTheme="minorEastAsia" w:eastAsiaTheme="minorEastAsia"/>
          <w:sz w:val="28"/>
          <w:szCs w:val="28"/>
        </w:rPr>
        <w:t>%</w:t>
      </w:r>
      <w:r>
        <w:rPr>
          <w:rFonts w:hint="eastAsia" w:asciiTheme="minorEastAsia" w:hAnsiTheme="minorEastAsia" w:eastAsiaTheme="minorEastAsia"/>
          <w:sz w:val="28"/>
          <w:szCs w:val="28"/>
        </w:rPr>
        <w:t>。</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w:t>
      </w:r>
      <w:r>
        <w:rPr>
          <w:rFonts w:hint="eastAsia" w:asciiTheme="minorEastAsia" w:hAnsiTheme="minorEastAsia" w:eastAsiaTheme="minorEastAsia"/>
          <w:sz w:val="28"/>
          <w:szCs w:val="28"/>
        </w:rPr>
        <w:t>将</w:t>
      </w:r>
      <w:r>
        <w:rPr>
          <w:rFonts w:asciiTheme="minorEastAsia" w:hAnsiTheme="minorEastAsia" w:eastAsiaTheme="minorEastAsia"/>
          <w:sz w:val="28"/>
          <w:szCs w:val="28"/>
        </w:rPr>
        <w:t>年中追加的财政拨款用于</w:t>
      </w:r>
      <w:r>
        <w:rPr>
          <w:rFonts w:hint="eastAsia" w:asciiTheme="minorEastAsia" w:hAnsiTheme="minorEastAsia" w:eastAsiaTheme="minorEastAsia"/>
          <w:sz w:val="28"/>
          <w:szCs w:val="28"/>
        </w:rPr>
        <w:t>林业科技推广示范支出</w:t>
      </w:r>
      <w:r>
        <w:rPr>
          <w:rFonts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22、农林水支出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林业和草原</w:t>
      </w:r>
      <w:r>
        <w:rPr>
          <w:rFonts w:asciiTheme="minorEastAsia" w:hAnsiTheme="minorEastAsia" w:eastAsiaTheme="minorEastAsia"/>
          <w:sz w:val="28"/>
          <w:szCs w:val="28"/>
        </w:rPr>
        <w:t>（款）</w:t>
      </w:r>
      <w:r>
        <w:rPr>
          <w:rFonts w:hint="eastAsia" w:asciiTheme="minorEastAsia" w:hAnsiTheme="minorEastAsia" w:eastAsiaTheme="minorEastAsia"/>
          <w:sz w:val="28"/>
          <w:szCs w:val="28"/>
        </w:rPr>
        <w:t>森林生态效益补偿</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年初预算为218.10万元，支出决算为264.36万元，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121.2</w:t>
      </w:r>
      <w:r>
        <w:rPr>
          <w:rFonts w:asciiTheme="minorEastAsia" w:hAnsiTheme="minorEastAsia" w:eastAsiaTheme="minorEastAsia"/>
          <w:sz w:val="28"/>
          <w:szCs w:val="28"/>
        </w:rPr>
        <w:t>%</w:t>
      </w:r>
      <w:r>
        <w:rPr>
          <w:rFonts w:hint="eastAsia" w:asciiTheme="minorEastAsia" w:hAnsiTheme="minorEastAsia" w:eastAsiaTheme="minorEastAsia"/>
          <w:sz w:val="28"/>
          <w:szCs w:val="28"/>
        </w:rPr>
        <w:t>。</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w:t>
      </w:r>
      <w:r>
        <w:rPr>
          <w:rFonts w:hint="eastAsia" w:asciiTheme="minorEastAsia" w:hAnsiTheme="minorEastAsia" w:eastAsiaTheme="minorEastAsia"/>
          <w:sz w:val="28"/>
          <w:szCs w:val="28"/>
        </w:rPr>
        <w:t>将</w:t>
      </w:r>
      <w:r>
        <w:rPr>
          <w:rFonts w:asciiTheme="minorEastAsia" w:hAnsiTheme="minorEastAsia" w:eastAsiaTheme="minorEastAsia"/>
          <w:sz w:val="28"/>
          <w:szCs w:val="28"/>
        </w:rPr>
        <w:t>年中追加的财政拨款用于</w:t>
      </w:r>
      <w:r>
        <w:rPr>
          <w:rFonts w:hint="eastAsia" w:asciiTheme="minorEastAsia" w:hAnsiTheme="minorEastAsia" w:eastAsiaTheme="minorEastAsia"/>
          <w:sz w:val="28"/>
          <w:szCs w:val="28"/>
        </w:rPr>
        <w:t>省级以上公益林生态监测评价、固定样地监测、天然林大样地建设及监测等支出</w:t>
      </w:r>
      <w:r>
        <w:rPr>
          <w:rFonts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23、农林水支出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林业和草原</w:t>
      </w:r>
      <w:r>
        <w:rPr>
          <w:rFonts w:asciiTheme="minorEastAsia" w:hAnsiTheme="minorEastAsia" w:eastAsiaTheme="minorEastAsia"/>
          <w:sz w:val="28"/>
          <w:szCs w:val="28"/>
        </w:rPr>
        <w:t>（款）</w:t>
      </w:r>
      <w:r>
        <w:rPr>
          <w:rFonts w:hint="eastAsia" w:asciiTheme="minorEastAsia" w:hAnsiTheme="minorEastAsia" w:eastAsiaTheme="minorEastAsia"/>
          <w:sz w:val="28"/>
          <w:szCs w:val="28"/>
        </w:rPr>
        <w:t>自然保护区等管理</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年初预算为203.40万元，支出决算为203.39万元，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100</w:t>
      </w:r>
      <w:r>
        <w:rPr>
          <w:rFonts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24、农林水支出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林业和草原</w:t>
      </w:r>
      <w:r>
        <w:rPr>
          <w:rFonts w:asciiTheme="minorEastAsia" w:hAnsiTheme="minorEastAsia" w:eastAsiaTheme="minorEastAsia"/>
          <w:sz w:val="28"/>
          <w:szCs w:val="28"/>
        </w:rPr>
        <w:t>（款）</w:t>
      </w:r>
      <w:r>
        <w:rPr>
          <w:rFonts w:hint="eastAsia" w:asciiTheme="minorEastAsia" w:hAnsiTheme="minorEastAsia" w:eastAsiaTheme="minorEastAsia"/>
          <w:sz w:val="28"/>
          <w:szCs w:val="28"/>
        </w:rPr>
        <w:t>动植物保护</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年初预算为117.90万元，支出决算为380.82万元，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323</w:t>
      </w:r>
      <w:r>
        <w:rPr>
          <w:rFonts w:asciiTheme="minorEastAsia" w:hAnsiTheme="minorEastAsia" w:eastAsiaTheme="minorEastAsia"/>
          <w:sz w:val="28"/>
          <w:szCs w:val="28"/>
        </w:rPr>
        <w:t>%</w:t>
      </w:r>
      <w:r>
        <w:rPr>
          <w:rFonts w:hint="eastAsia" w:asciiTheme="minorEastAsia" w:hAnsiTheme="minorEastAsia" w:eastAsiaTheme="minorEastAsia"/>
          <w:sz w:val="28"/>
          <w:szCs w:val="28"/>
        </w:rPr>
        <w:t>。</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w:t>
      </w:r>
      <w:r>
        <w:rPr>
          <w:rFonts w:hint="eastAsia" w:asciiTheme="minorEastAsia" w:hAnsiTheme="minorEastAsia" w:eastAsiaTheme="minorEastAsia"/>
          <w:sz w:val="28"/>
          <w:szCs w:val="28"/>
        </w:rPr>
        <w:t>将</w:t>
      </w:r>
      <w:r>
        <w:rPr>
          <w:rFonts w:asciiTheme="minorEastAsia" w:hAnsiTheme="minorEastAsia" w:eastAsiaTheme="minorEastAsia"/>
          <w:sz w:val="28"/>
          <w:szCs w:val="28"/>
        </w:rPr>
        <w:t>年中追加的财政拨款用于</w:t>
      </w:r>
      <w:r>
        <w:rPr>
          <w:rFonts w:hint="eastAsia" w:asciiTheme="minorEastAsia" w:hAnsiTheme="minorEastAsia" w:eastAsiaTheme="minorEastAsia"/>
          <w:sz w:val="28"/>
          <w:szCs w:val="28"/>
        </w:rPr>
        <w:t>国家重点</w:t>
      </w:r>
      <w:r>
        <w:rPr>
          <w:rFonts w:asciiTheme="minorEastAsia" w:hAnsiTheme="minorEastAsia" w:eastAsiaTheme="minorEastAsia"/>
          <w:sz w:val="28"/>
          <w:szCs w:val="28"/>
        </w:rPr>
        <w:t>野生动植物保护、</w:t>
      </w:r>
      <w:r>
        <w:rPr>
          <w:rFonts w:hint="eastAsia" w:asciiTheme="minorEastAsia" w:hAnsiTheme="minorEastAsia" w:eastAsiaTheme="minorEastAsia"/>
          <w:sz w:val="28"/>
          <w:szCs w:val="28"/>
        </w:rPr>
        <w:t>野生动植物资源调查监测与保护体系建设</w:t>
      </w:r>
      <w:r>
        <w:rPr>
          <w:rFonts w:asciiTheme="minorEastAsia" w:hAnsiTheme="minorEastAsia" w:eastAsiaTheme="minorEastAsia"/>
          <w:sz w:val="28"/>
          <w:szCs w:val="28"/>
        </w:rPr>
        <w:t>等支出。</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25、农林水支出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林业和草原</w:t>
      </w:r>
      <w:r>
        <w:rPr>
          <w:rFonts w:asciiTheme="minorEastAsia" w:hAnsiTheme="minorEastAsia" w:eastAsiaTheme="minorEastAsia"/>
          <w:sz w:val="28"/>
          <w:szCs w:val="28"/>
        </w:rPr>
        <w:t>（款）</w:t>
      </w:r>
      <w:r>
        <w:rPr>
          <w:rFonts w:hint="eastAsia" w:asciiTheme="minorEastAsia" w:hAnsiTheme="minorEastAsia" w:eastAsiaTheme="minorEastAsia"/>
          <w:sz w:val="28"/>
          <w:szCs w:val="28"/>
        </w:rPr>
        <w:t>湿地保护</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年初预算为78.50万元，支出决算为79.49万元，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101.3</w:t>
      </w:r>
      <w:r>
        <w:rPr>
          <w:rFonts w:asciiTheme="minorEastAsia" w:hAnsiTheme="minorEastAsia" w:eastAsiaTheme="minorEastAsia"/>
          <w:sz w:val="28"/>
          <w:szCs w:val="28"/>
        </w:rPr>
        <w:t>%</w:t>
      </w:r>
      <w:r>
        <w:rPr>
          <w:rFonts w:hint="eastAsia" w:asciiTheme="minorEastAsia" w:hAnsiTheme="minorEastAsia" w:eastAsiaTheme="minorEastAsia"/>
          <w:sz w:val="28"/>
          <w:szCs w:val="28"/>
        </w:rPr>
        <w:t>。</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w:t>
      </w:r>
      <w:r>
        <w:rPr>
          <w:rFonts w:hint="eastAsia" w:asciiTheme="minorEastAsia" w:hAnsiTheme="minorEastAsia" w:eastAsiaTheme="minorEastAsia"/>
          <w:sz w:val="28"/>
          <w:szCs w:val="28"/>
        </w:rPr>
        <w:t>将</w:t>
      </w:r>
      <w:r>
        <w:rPr>
          <w:rFonts w:asciiTheme="minorEastAsia" w:hAnsiTheme="minorEastAsia" w:eastAsiaTheme="minorEastAsia"/>
          <w:sz w:val="28"/>
          <w:szCs w:val="28"/>
        </w:rPr>
        <w:t>年中追加的财政拨款用于</w:t>
      </w:r>
      <w:r>
        <w:rPr>
          <w:rFonts w:hint="eastAsia" w:asciiTheme="minorEastAsia" w:hAnsiTheme="minorEastAsia" w:eastAsiaTheme="minorEastAsia"/>
          <w:sz w:val="28"/>
          <w:szCs w:val="28"/>
        </w:rPr>
        <w:t>小微湿地水体净化功能关键技术研究、湿地公园生态监测评估、洞庭湖和湘江流域湿地生态监测评估</w:t>
      </w:r>
      <w:r>
        <w:rPr>
          <w:rFonts w:asciiTheme="minorEastAsia" w:hAnsiTheme="minorEastAsia" w:eastAsiaTheme="minorEastAsia"/>
          <w:sz w:val="28"/>
          <w:szCs w:val="28"/>
        </w:rPr>
        <w:t>等湿地保护</w:t>
      </w:r>
      <w:r>
        <w:rPr>
          <w:rFonts w:hint="eastAsia" w:asciiTheme="minorEastAsia" w:hAnsiTheme="minorEastAsia" w:eastAsiaTheme="minorEastAsia"/>
          <w:sz w:val="28"/>
          <w:szCs w:val="28"/>
        </w:rPr>
        <w:t>与修复</w:t>
      </w:r>
      <w:r>
        <w:rPr>
          <w:rFonts w:asciiTheme="minorEastAsia" w:hAnsiTheme="minorEastAsia" w:eastAsiaTheme="minorEastAsia"/>
          <w:sz w:val="28"/>
          <w:szCs w:val="28"/>
        </w:rPr>
        <w:t>方面的支出。</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26、农林水支出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林业和草原</w:t>
      </w:r>
      <w:r>
        <w:rPr>
          <w:rFonts w:asciiTheme="minorEastAsia" w:hAnsiTheme="minorEastAsia" w:eastAsiaTheme="minorEastAsia"/>
          <w:sz w:val="28"/>
          <w:szCs w:val="28"/>
        </w:rPr>
        <w:t>（款）</w:t>
      </w:r>
      <w:r>
        <w:rPr>
          <w:rFonts w:hint="eastAsia" w:asciiTheme="minorEastAsia" w:hAnsiTheme="minorEastAsia" w:eastAsiaTheme="minorEastAsia"/>
          <w:sz w:val="28"/>
          <w:szCs w:val="28"/>
        </w:rPr>
        <w:t>对外合作与交流</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年初预算为0万元，支出决算为8.11万元。</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w:t>
      </w:r>
      <w:r>
        <w:rPr>
          <w:rFonts w:hint="eastAsia" w:asciiTheme="minorEastAsia" w:hAnsiTheme="minorEastAsia" w:eastAsiaTheme="minorEastAsia"/>
          <w:sz w:val="28"/>
          <w:szCs w:val="28"/>
        </w:rPr>
        <w:t>将</w:t>
      </w:r>
      <w:r>
        <w:rPr>
          <w:rFonts w:asciiTheme="minorEastAsia" w:hAnsiTheme="minorEastAsia" w:eastAsiaTheme="minorEastAsia"/>
          <w:sz w:val="28"/>
          <w:szCs w:val="28"/>
        </w:rPr>
        <w:t>年中追加的财政拨款用于</w:t>
      </w:r>
      <w:r>
        <w:rPr>
          <w:rFonts w:hint="eastAsia" w:asciiTheme="minorEastAsia" w:hAnsiTheme="minorEastAsia" w:eastAsiaTheme="minorEastAsia"/>
          <w:sz w:val="28"/>
          <w:szCs w:val="28"/>
        </w:rPr>
        <w:t>近自然森林经营技术培训推广、乡土景观树种选择与适生环境研究、果材兼用林研究与推广</w:t>
      </w:r>
      <w:r>
        <w:rPr>
          <w:rFonts w:asciiTheme="minorEastAsia" w:hAnsiTheme="minorEastAsia" w:eastAsiaTheme="minorEastAsia"/>
          <w:sz w:val="28"/>
          <w:szCs w:val="28"/>
        </w:rPr>
        <w:t>等</w:t>
      </w:r>
      <w:r>
        <w:rPr>
          <w:rFonts w:hint="eastAsia" w:asciiTheme="minorEastAsia" w:hAnsiTheme="minorEastAsia" w:eastAsiaTheme="minorEastAsia"/>
          <w:sz w:val="28"/>
          <w:szCs w:val="28"/>
        </w:rPr>
        <w:t>外资项目</w:t>
      </w:r>
      <w:r>
        <w:rPr>
          <w:rFonts w:asciiTheme="minorEastAsia" w:hAnsiTheme="minorEastAsia" w:eastAsiaTheme="minorEastAsia"/>
          <w:sz w:val="28"/>
          <w:szCs w:val="28"/>
        </w:rPr>
        <w:t>支出</w:t>
      </w:r>
      <w:r>
        <w:rPr>
          <w:rFonts w:hint="eastAsia"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27、农林水支出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林业和草原</w:t>
      </w:r>
      <w:r>
        <w:rPr>
          <w:rFonts w:asciiTheme="minorEastAsia" w:hAnsiTheme="minorEastAsia" w:eastAsiaTheme="minorEastAsia"/>
          <w:sz w:val="28"/>
          <w:szCs w:val="28"/>
        </w:rPr>
        <w:t>（款）</w:t>
      </w:r>
      <w:r>
        <w:rPr>
          <w:rFonts w:hint="eastAsia" w:asciiTheme="minorEastAsia" w:hAnsiTheme="minorEastAsia" w:eastAsiaTheme="minorEastAsia"/>
          <w:sz w:val="28"/>
          <w:szCs w:val="28"/>
        </w:rPr>
        <w:t>产业化管理</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年初预算为147.30万元，支出决算为184.42万元，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125.2</w:t>
      </w:r>
      <w:r>
        <w:rPr>
          <w:rFonts w:asciiTheme="minorEastAsia" w:hAnsiTheme="minorEastAsia" w:eastAsiaTheme="minorEastAsia"/>
          <w:sz w:val="28"/>
          <w:szCs w:val="28"/>
        </w:rPr>
        <w:t>%</w:t>
      </w:r>
      <w:r>
        <w:rPr>
          <w:rFonts w:hint="eastAsia" w:asciiTheme="minorEastAsia" w:hAnsiTheme="minorEastAsia" w:eastAsiaTheme="minorEastAsia"/>
          <w:sz w:val="28"/>
          <w:szCs w:val="28"/>
        </w:rPr>
        <w:t>。</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w:t>
      </w:r>
      <w:r>
        <w:rPr>
          <w:rFonts w:hint="eastAsia" w:asciiTheme="minorEastAsia" w:hAnsiTheme="minorEastAsia" w:eastAsiaTheme="minorEastAsia"/>
          <w:sz w:val="28"/>
          <w:szCs w:val="28"/>
        </w:rPr>
        <w:t>将</w:t>
      </w:r>
      <w:r>
        <w:rPr>
          <w:rFonts w:asciiTheme="minorEastAsia" w:hAnsiTheme="minorEastAsia" w:eastAsiaTheme="minorEastAsia"/>
          <w:sz w:val="28"/>
          <w:szCs w:val="28"/>
        </w:rPr>
        <w:t>年中追加的财政拨款用于</w:t>
      </w:r>
      <w:r>
        <w:rPr>
          <w:rFonts w:hint="eastAsia" w:asciiTheme="minorEastAsia" w:hAnsiTheme="minorEastAsia" w:eastAsiaTheme="minorEastAsia"/>
          <w:sz w:val="28"/>
          <w:szCs w:val="28"/>
        </w:rPr>
        <w:t>竹木产业、茶油质量标准体系建设与宣传培训等</w:t>
      </w:r>
      <w:r>
        <w:rPr>
          <w:rFonts w:asciiTheme="minorEastAsia" w:hAnsiTheme="minorEastAsia" w:eastAsiaTheme="minorEastAsia"/>
          <w:sz w:val="28"/>
          <w:szCs w:val="28"/>
        </w:rPr>
        <w:t>支出</w:t>
      </w:r>
      <w:r>
        <w:rPr>
          <w:rFonts w:hint="eastAsia"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28、农林水支出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林业和草原</w:t>
      </w:r>
      <w:r>
        <w:rPr>
          <w:rFonts w:asciiTheme="minorEastAsia" w:hAnsiTheme="minorEastAsia" w:eastAsiaTheme="minorEastAsia"/>
          <w:sz w:val="28"/>
          <w:szCs w:val="28"/>
        </w:rPr>
        <w:t>（款）</w:t>
      </w:r>
      <w:r>
        <w:rPr>
          <w:rFonts w:hint="eastAsia" w:asciiTheme="minorEastAsia" w:hAnsiTheme="minorEastAsia" w:eastAsiaTheme="minorEastAsia"/>
          <w:sz w:val="28"/>
          <w:szCs w:val="28"/>
        </w:rPr>
        <w:t>林业草原防灾减灾</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年初预算为146.70万元，支出决算为146.65万元，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100</w:t>
      </w:r>
      <w:r>
        <w:rPr>
          <w:rFonts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29、农林水支出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林业和草原</w:t>
      </w:r>
      <w:r>
        <w:rPr>
          <w:rFonts w:asciiTheme="minorEastAsia" w:hAnsiTheme="minorEastAsia" w:eastAsiaTheme="minorEastAsia"/>
          <w:sz w:val="28"/>
          <w:szCs w:val="28"/>
        </w:rPr>
        <w:t>（款）</w:t>
      </w:r>
      <w:r>
        <w:rPr>
          <w:rFonts w:hint="eastAsia" w:asciiTheme="minorEastAsia" w:hAnsiTheme="minorEastAsia" w:eastAsiaTheme="minorEastAsia"/>
          <w:sz w:val="28"/>
          <w:szCs w:val="28"/>
        </w:rPr>
        <w:t>其他林业和草原支出</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年初预算为1248.00万元，支出决算为1478.50万元，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118.5</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w:t>
      </w:r>
      <w:r>
        <w:rPr>
          <w:rFonts w:hint="eastAsia" w:asciiTheme="minorEastAsia" w:hAnsiTheme="minorEastAsia" w:eastAsiaTheme="minorEastAsia"/>
          <w:sz w:val="28"/>
          <w:szCs w:val="28"/>
        </w:rPr>
        <w:t>将</w:t>
      </w:r>
      <w:r>
        <w:rPr>
          <w:rFonts w:asciiTheme="minorEastAsia" w:hAnsiTheme="minorEastAsia" w:eastAsiaTheme="minorEastAsia"/>
          <w:sz w:val="28"/>
          <w:szCs w:val="28"/>
        </w:rPr>
        <w:t>年中追加的财政拨款用于</w:t>
      </w:r>
      <w:r>
        <w:rPr>
          <w:rFonts w:hint="eastAsia" w:asciiTheme="minorEastAsia" w:hAnsiTheme="minorEastAsia" w:eastAsiaTheme="minorEastAsia"/>
          <w:sz w:val="28"/>
          <w:szCs w:val="28"/>
        </w:rPr>
        <w:t>林业科技创新</w:t>
      </w:r>
      <w:r>
        <w:rPr>
          <w:rFonts w:asciiTheme="minorEastAsia" w:hAnsiTheme="minorEastAsia" w:eastAsiaTheme="minorEastAsia"/>
          <w:sz w:val="28"/>
          <w:szCs w:val="28"/>
        </w:rPr>
        <w:t>、</w:t>
      </w:r>
      <w:r>
        <w:rPr>
          <w:rFonts w:hint="eastAsia" w:asciiTheme="minorEastAsia" w:hAnsiTheme="minorEastAsia" w:eastAsiaTheme="minorEastAsia"/>
          <w:sz w:val="28"/>
          <w:szCs w:val="28"/>
        </w:rPr>
        <w:t>科技示范园维护、林区道路、古树名木保护、森林防火综合治理及国家地方联合工程研究中心(工程实验室)项目配套、森林管护及省委省政府确定的重点工作</w:t>
      </w:r>
      <w:r>
        <w:rPr>
          <w:rFonts w:asciiTheme="minorEastAsia" w:hAnsiTheme="minorEastAsia" w:eastAsiaTheme="minorEastAsia"/>
          <w:sz w:val="28"/>
          <w:szCs w:val="28"/>
        </w:rPr>
        <w:t>等</w:t>
      </w:r>
      <w:r>
        <w:rPr>
          <w:rFonts w:hint="eastAsia" w:asciiTheme="minorEastAsia" w:hAnsiTheme="minorEastAsia" w:eastAsiaTheme="minorEastAsia"/>
          <w:sz w:val="28"/>
          <w:szCs w:val="28"/>
        </w:rPr>
        <w:t>林业</w:t>
      </w:r>
      <w:r>
        <w:rPr>
          <w:rFonts w:asciiTheme="minorEastAsia" w:hAnsiTheme="minorEastAsia" w:eastAsiaTheme="minorEastAsia"/>
          <w:sz w:val="28"/>
          <w:szCs w:val="28"/>
        </w:rPr>
        <w:t>方面的支出。</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30、农林水支出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其他农林水支出</w:t>
      </w:r>
      <w:r>
        <w:rPr>
          <w:rFonts w:asciiTheme="minorEastAsia" w:hAnsiTheme="minorEastAsia" w:eastAsiaTheme="minorEastAsia"/>
          <w:sz w:val="28"/>
          <w:szCs w:val="28"/>
        </w:rPr>
        <w:t>（款）</w:t>
      </w:r>
      <w:r>
        <w:rPr>
          <w:rFonts w:hint="eastAsia" w:asciiTheme="minorEastAsia" w:hAnsiTheme="minorEastAsia" w:eastAsiaTheme="minorEastAsia"/>
          <w:sz w:val="28"/>
          <w:szCs w:val="28"/>
        </w:rPr>
        <w:t>其他农林水支出</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年初预算为0万元，支出决算为1.22万元</w:t>
      </w:r>
      <w:r>
        <w:rPr>
          <w:rFonts w:asciiTheme="minorEastAsia" w:hAnsiTheme="minorEastAsia" w:eastAsiaTheme="minorEastAsia"/>
          <w:sz w:val="28"/>
          <w:szCs w:val="28"/>
        </w:rPr>
        <w:t>。决算数</w:t>
      </w:r>
      <w:r>
        <w:rPr>
          <w:rFonts w:hint="eastAsia" w:asciiTheme="minorEastAsia" w:hAnsiTheme="minorEastAsia" w:eastAsiaTheme="minorEastAsia"/>
          <w:sz w:val="28"/>
          <w:szCs w:val="28"/>
        </w:rPr>
        <w:t>大</w:t>
      </w:r>
      <w:r>
        <w:rPr>
          <w:rFonts w:asciiTheme="minorEastAsia" w:hAnsiTheme="minorEastAsia" w:eastAsiaTheme="minorEastAsia"/>
          <w:sz w:val="28"/>
          <w:szCs w:val="28"/>
        </w:rPr>
        <w:t>于预算数的主要原因是</w:t>
      </w:r>
      <w:r>
        <w:rPr>
          <w:rFonts w:hint="eastAsia" w:asciiTheme="minorEastAsia" w:hAnsiTheme="minorEastAsia" w:eastAsiaTheme="minorEastAsia"/>
          <w:sz w:val="28"/>
          <w:szCs w:val="28"/>
        </w:rPr>
        <w:t>将</w:t>
      </w:r>
      <w:r>
        <w:rPr>
          <w:rFonts w:asciiTheme="minorEastAsia" w:hAnsiTheme="minorEastAsia" w:eastAsiaTheme="minorEastAsia"/>
          <w:sz w:val="28"/>
          <w:szCs w:val="28"/>
        </w:rPr>
        <w:t>年中追加的财政拨款用于</w:t>
      </w:r>
      <w:r>
        <w:rPr>
          <w:rFonts w:hint="eastAsia" w:asciiTheme="minorEastAsia" w:hAnsiTheme="minorEastAsia" w:eastAsiaTheme="minorEastAsia"/>
          <w:sz w:val="28"/>
          <w:szCs w:val="28"/>
        </w:rPr>
        <w:t>国家级生态定位站建设项目支出</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31、交通运输支出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公路水路运输</w:t>
      </w:r>
      <w:r>
        <w:rPr>
          <w:rFonts w:asciiTheme="minorEastAsia" w:hAnsiTheme="minorEastAsia" w:eastAsiaTheme="minorEastAsia"/>
          <w:sz w:val="28"/>
          <w:szCs w:val="28"/>
        </w:rPr>
        <w:t>（款）</w:t>
      </w:r>
      <w:r>
        <w:rPr>
          <w:rFonts w:hint="eastAsia" w:asciiTheme="minorEastAsia" w:hAnsiTheme="minorEastAsia" w:eastAsiaTheme="minorEastAsia"/>
          <w:sz w:val="28"/>
          <w:szCs w:val="28"/>
        </w:rPr>
        <w:t>公路养护</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年初预算为24.10万元，支出决算为24.14万元，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100</w:t>
      </w:r>
      <w:r>
        <w:rPr>
          <w:rFonts w:asciiTheme="minorEastAsia" w:hAnsiTheme="minorEastAsia" w:eastAsiaTheme="minorEastAsia"/>
          <w:sz w:val="28"/>
          <w:szCs w:val="28"/>
        </w:rPr>
        <w:t>%</w:t>
      </w:r>
      <w:r>
        <w:rPr>
          <w:rFonts w:hint="eastAsia" w:asciiTheme="minorEastAsia" w:hAnsiTheme="minorEastAsia" w:eastAsiaTheme="minorEastAsia"/>
          <w:sz w:val="28"/>
          <w:szCs w:val="28"/>
        </w:rPr>
        <w:t>。</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32、住房保障支出</w:t>
      </w:r>
      <w:r>
        <w:rPr>
          <w:rFonts w:asciiTheme="minorEastAsia" w:hAnsiTheme="minorEastAsia" w:eastAsiaTheme="minorEastAsia"/>
          <w:sz w:val="28"/>
          <w:szCs w:val="28"/>
        </w:rPr>
        <w:t>（类）</w:t>
      </w:r>
      <w:r>
        <w:rPr>
          <w:rFonts w:hint="eastAsia" w:asciiTheme="minorEastAsia" w:hAnsiTheme="minorEastAsia" w:eastAsiaTheme="minorEastAsia"/>
          <w:sz w:val="28"/>
          <w:szCs w:val="28"/>
        </w:rPr>
        <w:t>住房改革支出</w:t>
      </w:r>
      <w:r>
        <w:rPr>
          <w:rFonts w:asciiTheme="minorEastAsia" w:hAnsiTheme="minorEastAsia" w:eastAsiaTheme="minorEastAsia"/>
          <w:sz w:val="28"/>
          <w:szCs w:val="28"/>
        </w:rPr>
        <w:t>（款）</w:t>
      </w:r>
      <w:r>
        <w:rPr>
          <w:rFonts w:hint="eastAsia" w:asciiTheme="minorEastAsia" w:hAnsiTheme="minorEastAsia" w:eastAsiaTheme="minorEastAsia"/>
          <w:sz w:val="28"/>
          <w:szCs w:val="28"/>
        </w:rPr>
        <w:t>住房公积金</w:t>
      </w:r>
      <w:r>
        <w:rPr>
          <w:rFonts w:asciiTheme="minorEastAsia" w:hAnsiTheme="minorEastAsia" w:eastAsiaTheme="minorEastAsia"/>
          <w:sz w:val="28"/>
          <w:szCs w:val="28"/>
        </w:rPr>
        <w:t>（项）</w:t>
      </w:r>
    </w:p>
    <w:p>
      <w:pPr>
        <w:pStyle w:val="10"/>
        <w:ind w:firstLine="700" w:firstLineChars="250"/>
        <w:rPr>
          <w:rFonts w:asciiTheme="minorEastAsia" w:hAnsiTheme="minorEastAsia" w:eastAsiaTheme="minorEastAsia"/>
          <w:sz w:val="28"/>
          <w:szCs w:val="28"/>
        </w:rPr>
      </w:pPr>
      <w:r>
        <w:rPr>
          <w:rFonts w:hint="eastAsia" w:asciiTheme="minorEastAsia" w:hAnsiTheme="minorEastAsia" w:eastAsiaTheme="minorEastAsia"/>
          <w:sz w:val="28"/>
          <w:szCs w:val="28"/>
        </w:rPr>
        <w:t>年初预算为330.00万元，支出决算为330.00万元，</w:t>
      </w:r>
      <w:r>
        <w:rPr>
          <w:rFonts w:asciiTheme="minorEastAsia" w:hAnsiTheme="minorEastAsia" w:eastAsiaTheme="minorEastAsia"/>
          <w:sz w:val="28"/>
          <w:szCs w:val="28"/>
        </w:rPr>
        <w:t>完成年初预算的</w:t>
      </w:r>
      <w:r>
        <w:rPr>
          <w:rFonts w:hint="eastAsia" w:asciiTheme="minorEastAsia" w:hAnsiTheme="minorEastAsia" w:eastAsiaTheme="minorEastAsia"/>
          <w:sz w:val="28"/>
          <w:szCs w:val="28"/>
        </w:rPr>
        <w:t>100</w:t>
      </w:r>
      <w:r>
        <w:rPr>
          <w:rFonts w:asciiTheme="minorEastAsia" w:hAnsiTheme="minorEastAsia" w:eastAsiaTheme="minorEastAsia"/>
          <w:sz w:val="28"/>
          <w:szCs w:val="28"/>
        </w:rPr>
        <w:t>%。</w:t>
      </w:r>
    </w:p>
    <w:p>
      <w:pPr>
        <w:pStyle w:val="10"/>
        <w:rPr>
          <w:rFonts w:asciiTheme="minorEastAsia" w:hAnsiTheme="minorEastAsia" w:eastAsiaTheme="minorEastAsia"/>
          <w:b/>
          <w:sz w:val="28"/>
          <w:szCs w:val="28"/>
        </w:rPr>
      </w:pPr>
      <w:r>
        <w:rPr>
          <w:rFonts w:hint="eastAsia" w:asciiTheme="minorEastAsia" w:hAnsiTheme="minorEastAsia" w:eastAsiaTheme="minorEastAsia"/>
          <w:b/>
          <w:sz w:val="28"/>
          <w:szCs w:val="28"/>
        </w:rPr>
        <w:t>六、一般公共预算财政拨款基本支出决算情况说明</w:t>
      </w:r>
    </w:p>
    <w:p>
      <w:pPr>
        <w:pStyle w:val="1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2021年度财政拨款基本支出3589.48万元，其中：人员经费3589.48万元，占基本支出的100%,主要包括基本工资、津贴补贴、奖金、绩效工资、五险一金、其他工资福利支出、离休费、退休费、抚恤金、生活补助、医疗费补助、其他对个人和家庭的补助。</w:t>
      </w:r>
    </w:p>
    <w:p>
      <w:pPr>
        <w:pStyle w:val="10"/>
        <w:rPr>
          <w:rFonts w:asciiTheme="minorEastAsia" w:hAnsiTheme="minorEastAsia" w:eastAsiaTheme="minorEastAsia"/>
          <w:b/>
          <w:sz w:val="28"/>
          <w:szCs w:val="28"/>
        </w:rPr>
      </w:pPr>
      <w:r>
        <w:rPr>
          <w:rFonts w:hint="eastAsia" w:asciiTheme="minorEastAsia" w:hAnsiTheme="minorEastAsia" w:eastAsiaTheme="minorEastAsia"/>
          <w:b/>
          <w:sz w:val="28"/>
          <w:szCs w:val="28"/>
        </w:rPr>
        <w:t>七、一般公共预算财政拨款三公经费支出决算情况说明</w:t>
      </w:r>
    </w:p>
    <w:p>
      <w:pPr>
        <w:pStyle w:val="10"/>
        <w:rPr>
          <w:rFonts w:asciiTheme="minorEastAsia" w:hAnsiTheme="minorEastAsia" w:eastAsiaTheme="minorEastAsia"/>
          <w:b/>
          <w:sz w:val="28"/>
          <w:szCs w:val="28"/>
        </w:rPr>
      </w:pPr>
      <w:r>
        <w:rPr>
          <w:rFonts w:hint="eastAsia" w:asciiTheme="minorEastAsia" w:hAnsiTheme="minorEastAsia" w:eastAsiaTheme="minorEastAsia"/>
          <w:b/>
          <w:sz w:val="28"/>
          <w:szCs w:val="28"/>
        </w:rPr>
        <w:t>（一）“三公”经费财政拨款支出决算总体情况说明</w:t>
      </w:r>
    </w:p>
    <w:p>
      <w:pPr>
        <w:pStyle w:val="10"/>
        <w:ind w:firstLine="700" w:firstLineChars="25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2021年度“三公”经费财政拨款支出预算为0万元，支出决算为0万元。</w:t>
      </w:r>
      <w:r>
        <w:rPr>
          <w:rFonts w:hint="eastAsia" w:asciiTheme="minorEastAsia" w:hAnsiTheme="minorEastAsia" w:eastAsiaTheme="minorEastAsia"/>
          <w:sz w:val="28"/>
          <w:szCs w:val="28"/>
          <w:lang w:eastAsia="zh-CN"/>
        </w:rPr>
        <w:t>与上年一致，</w:t>
      </w:r>
      <w:r>
        <w:rPr>
          <w:rFonts w:hint="eastAsia" w:asciiTheme="minorEastAsia" w:hAnsiTheme="minorEastAsia" w:eastAsiaTheme="minorEastAsia"/>
          <w:sz w:val="28"/>
          <w:szCs w:val="28"/>
          <w:lang w:val="en-US" w:eastAsia="zh-CN"/>
        </w:rPr>
        <w:t>其中：</w:t>
      </w:r>
    </w:p>
    <w:p>
      <w:pPr>
        <w:pStyle w:val="10"/>
        <w:ind w:firstLine="700" w:firstLineChars="250"/>
        <w:rPr>
          <w:rFonts w:hint="eastAsia"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因公出国（境）费支出预算为0万元，支出决算为0万元。公务接待费支出预算为0万元，支出决算为0万元。公务用车购置费支出预算为0万元，支出决算为0万元。公务用车运行维护费支出预算为0万元，支出决算为0万元。</w:t>
      </w:r>
    </w:p>
    <w:p>
      <w:pPr>
        <w:pStyle w:val="10"/>
        <w:rPr>
          <w:rFonts w:asciiTheme="minorEastAsia" w:hAnsiTheme="minorEastAsia" w:eastAsiaTheme="minorEastAsia"/>
          <w:b/>
          <w:sz w:val="28"/>
          <w:szCs w:val="28"/>
        </w:rPr>
      </w:pPr>
      <w:r>
        <w:rPr>
          <w:rFonts w:hint="eastAsia" w:asciiTheme="minorEastAsia" w:hAnsiTheme="minorEastAsia" w:eastAsiaTheme="minorEastAsia"/>
          <w:b/>
          <w:sz w:val="28"/>
          <w:szCs w:val="28"/>
        </w:rPr>
        <w:t>（二）“三公”经费财政拨款支出决算具体情况说明</w:t>
      </w:r>
    </w:p>
    <w:p>
      <w:pPr>
        <w:pStyle w:val="10"/>
        <w:ind w:firstLine="840" w:firstLineChars="3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2021年度“三公”经费财政拨款支出决算为0</w:t>
      </w:r>
      <w:r>
        <w:rPr>
          <w:rFonts w:hint="eastAsia" w:asciiTheme="minorEastAsia" w:hAnsiTheme="minorEastAsia" w:eastAsiaTheme="minorEastAsia"/>
          <w:sz w:val="28"/>
          <w:szCs w:val="28"/>
          <w:lang w:val="en-US" w:eastAsia="zh-CN"/>
        </w:rPr>
        <w:t>万元</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本单位没有一般公共预算财政拨款安排的“三公”经费支出</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其中：</w:t>
      </w:r>
      <w:r>
        <w:rPr>
          <w:rFonts w:hint="eastAsia" w:asciiTheme="minorEastAsia" w:hAnsiTheme="minorEastAsia" w:eastAsiaTheme="minorEastAsia"/>
          <w:sz w:val="28"/>
          <w:szCs w:val="28"/>
        </w:rPr>
        <w:t>公务接待费支出决算0万元，因公出国（境）费支出决算 0 万元，公务用车购置费及运行维护费支出决算0万元。</w:t>
      </w:r>
    </w:p>
    <w:p>
      <w:pPr>
        <w:pStyle w:val="10"/>
        <w:ind w:firstLine="840" w:firstLineChars="300"/>
        <w:rPr>
          <w:rFonts w:hint="default" w:asciiTheme="minorEastAsia" w:hAnsiTheme="minorEastAsia" w:eastAsiaTheme="minorEastAsia"/>
          <w:sz w:val="28"/>
          <w:szCs w:val="28"/>
          <w:lang w:val="en-US" w:eastAsia="zh-CN"/>
        </w:rPr>
      </w:pPr>
      <w:r>
        <w:rPr>
          <w:rFonts w:hint="default" w:asciiTheme="minorEastAsia" w:hAnsiTheme="minorEastAsia" w:eastAsiaTheme="minorEastAsia"/>
          <w:sz w:val="28"/>
          <w:szCs w:val="28"/>
          <w:lang w:val="en-US" w:eastAsia="zh-CN"/>
        </w:rPr>
        <w:t>1、因公出国（境）费支出决算为0.00万元，全年安排因公出国（境）团组0个，累计0人次。</w:t>
      </w:r>
    </w:p>
    <w:p>
      <w:pPr>
        <w:pStyle w:val="10"/>
        <w:ind w:firstLine="840" w:firstLineChars="300"/>
        <w:rPr>
          <w:rFonts w:hint="default" w:asciiTheme="minorEastAsia" w:hAnsiTheme="minorEastAsia" w:eastAsiaTheme="minorEastAsia"/>
          <w:sz w:val="28"/>
          <w:szCs w:val="28"/>
          <w:lang w:val="en-US" w:eastAsia="zh-CN"/>
        </w:rPr>
      </w:pPr>
      <w:r>
        <w:rPr>
          <w:rFonts w:hint="default" w:asciiTheme="minorEastAsia" w:hAnsiTheme="minorEastAsia" w:eastAsiaTheme="minorEastAsia"/>
          <w:sz w:val="28"/>
          <w:szCs w:val="28"/>
          <w:lang w:val="en-US" w:eastAsia="zh-CN"/>
        </w:rPr>
        <w:t>2、公务接待费支出决算为0.00万元，全年共接待来访团组0个、来宾0人次。</w:t>
      </w:r>
    </w:p>
    <w:p>
      <w:pPr>
        <w:pStyle w:val="10"/>
        <w:ind w:firstLine="840" w:firstLineChars="300"/>
        <w:rPr>
          <w:rFonts w:hint="default" w:asciiTheme="minorEastAsia" w:hAnsiTheme="minorEastAsia" w:eastAsiaTheme="minorEastAsia"/>
          <w:sz w:val="28"/>
          <w:szCs w:val="28"/>
          <w:lang w:val="en-US" w:eastAsia="zh-CN"/>
        </w:rPr>
      </w:pPr>
      <w:r>
        <w:rPr>
          <w:rFonts w:hint="default" w:asciiTheme="minorEastAsia" w:hAnsiTheme="minorEastAsia" w:eastAsiaTheme="minorEastAsia"/>
          <w:sz w:val="28"/>
          <w:szCs w:val="28"/>
          <w:lang w:val="en-US" w:eastAsia="zh-CN"/>
        </w:rPr>
        <w:t>3、公务用车购置费及运行维护费支出决算为0.00万元，其中：公务用车购置费0.00万元</w:t>
      </w:r>
      <w:r>
        <w:rPr>
          <w:rFonts w:hint="eastAsia" w:asciiTheme="minorEastAsia" w:hAnsiTheme="minorEastAsia" w:eastAsiaTheme="minorEastAsia"/>
          <w:sz w:val="28"/>
          <w:szCs w:val="28"/>
          <w:lang w:val="en-US" w:eastAsia="zh-CN"/>
        </w:rPr>
        <w:t>，本单位更新公务用车0辆。</w:t>
      </w:r>
      <w:r>
        <w:rPr>
          <w:rFonts w:hint="default" w:asciiTheme="minorEastAsia" w:hAnsiTheme="minorEastAsia" w:eastAsiaTheme="minorEastAsia"/>
          <w:sz w:val="28"/>
          <w:szCs w:val="28"/>
          <w:lang w:val="en-US" w:eastAsia="zh-CN"/>
        </w:rPr>
        <w:t>公务用车运行维护费0.00万元，截止202</w:t>
      </w:r>
      <w:r>
        <w:rPr>
          <w:rFonts w:hint="eastAsia" w:asciiTheme="minorEastAsia" w:hAnsiTheme="minorEastAsia" w:eastAsiaTheme="minorEastAsia"/>
          <w:sz w:val="28"/>
          <w:szCs w:val="28"/>
          <w:lang w:val="en-US" w:eastAsia="zh-CN"/>
        </w:rPr>
        <w:t>1</w:t>
      </w:r>
      <w:r>
        <w:rPr>
          <w:rFonts w:hint="default" w:asciiTheme="minorEastAsia" w:hAnsiTheme="minorEastAsia" w:eastAsiaTheme="minorEastAsia"/>
          <w:sz w:val="28"/>
          <w:szCs w:val="28"/>
          <w:lang w:val="en-US" w:eastAsia="zh-CN"/>
        </w:rPr>
        <w:t>年12月31日，</w:t>
      </w:r>
      <w:r>
        <w:rPr>
          <w:rFonts w:hint="eastAsia" w:asciiTheme="minorEastAsia" w:hAnsiTheme="minorEastAsia" w:eastAsiaTheme="minorEastAsia"/>
          <w:sz w:val="28"/>
          <w:szCs w:val="28"/>
          <w:lang w:val="en-US" w:eastAsia="zh-CN"/>
        </w:rPr>
        <w:t>我单位使用</w:t>
      </w:r>
      <w:r>
        <w:rPr>
          <w:rFonts w:hint="default" w:asciiTheme="minorEastAsia" w:hAnsiTheme="minorEastAsia" w:eastAsiaTheme="minorEastAsia"/>
          <w:sz w:val="28"/>
          <w:szCs w:val="28"/>
          <w:lang w:val="en-US" w:eastAsia="zh-CN"/>
        </w:rPr>
        <w:t>财政拨款的公务用车保有量为0辆。</w:t>
      </w:r>
      <w:bookmarkStart w:id="3" w:name="_GoBack"/>
      <w:bookmarkEnd w:id="3"/>
    </w:p>
    <w:p>
      <w:pPr>
        <w:pStyle w:val="10"/>
        <w:rPr>
          <w:rFonts w:asciiTheme="minorEastAsia" w:hAnsiTheme="minorEastAsia" w:eastAsiaTheme="minorEastAsia"/>
          <w:b/>
          <w:sz w:val="28"/>
          <w:szCs w:val="28"/>
        </w:rPr>
      </w:pPr>
      <w:r>
        <w:rPr>
          <w:rFonts w:hint="eastAsia" w:asciiTheme="minorEastAsia" w:hAnsiTheme="minorEastAsia" w:eastAsiaTheme="minorEastAsia"/>
          <w:b/>
          <w:sz w:val="28"/>
          <w:szCs w:val="28"/>
        </w:rPr>
        <w:t>八、政府性基金预算收入支出决算情况</w:t>
      </w:r>
    </w:p>
    <w:p>
      <w:pPr>
        <w:pStyle w:val="10"/>
        <w:rPr>
          <w:rFonts w:asciiTheme="minorEastAsia" w:hAnsiTheme="minorEastAsia" w:eastAsiaTheme="minorEastAsia"/>
          <w:i/>
          <w:color w:val="auto"/>
          <w:sz w:val="28"/>
          <w:szCs w:val="28"/>
        </w:rPr>
      </w:pPr>
      <w:r>
        <w:rPr>
          <w:rFonts w:hint="eastAsia" w:asciiTheme="minorEastAsia" w:hAnsiTheme="minorEastAsia" w:eastAsiaTheme="minorEastAsia"/>
          <w:sz w:val="28"/>
          <w:szCs w:val="28"/>
        </w:rPr>
        <w:t xml:space="preserve">    本部门2021年度无政府性基金预算收支</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决算数为0万元</w:t>
      </w:r>
      <w:r>
        <w:rPr>
          <w:rFonts w:hint="eastAsia" w:asciiTheme="minorEastAsia" w:hAnsiTheme="minorEastAsia" w:eastAsiaTheme="minorEastAsia"/>
          <w:sz w:val="28"/>
          <w:szCs w:val="28"/>
        </w:rPr>
        <w:t>。</w:t>
      </w:r>
    </w:p>
    <w:p>
      <w:pPr>
        <w:pStyle w:val="10"/>
        <w:rPr>
          <w:rFonts w:asciiTheme="minorEastAsia" w:hAnsiTheme="minorEastAsia" w:eastAsiaTheme="minorEastAsia"/>
          <w:b/>
          <w:sz w:val="28"/>
          <w:szCs w:val="28"/>
        </w:rPr>
      </w:pPr>
      <w:r>
        <w:rPr>
          <w:rFonts w:hint="eastAsia" w:asciiTheme="minorEastAsia" w:hAnsiTheme="minorEastAsia" w:eastAsiaTheme="minorEastAsia"/>
          <w:b/>
          <w:sz w:val="28"/>
          <w:szCs w:val="28"/>
        </w:rPr>
        <w:t>九、机关运行经费支出说明</w:t>
      </w:r>
    </w:p>
    <w:p>
      <w:pPr>
        <w:pStyle w:val="1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本部门为科研事业单位，无机关运行经费</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lang w:val="en-US" w:eastAsia="zh-CN"/>
        </w:rPr>
        <w:t>决算数为0万元</w:t>
      </w:r>
      <w:r>
        <w:rPr>
          <w:rFonts w:hint="eastAsia" w:asciiTheme="minorEastAsia" w:hAnsiTheme="minorEastAsia" w:eastAsiaTheme="minorEastAsia"/>
          <w:sz w:val="28"/>
          <w:szCs w:val="28"/>
        </w:rPr>
        <w:t>。</w:t>
      </w:r>
    </w:p>
    <w:p>
      <w:pPr>
        <w:pStyle w:val="10"/>
        <w:rPr>
          <w:rFonts w:asciiTheme="minorEastAsia" w:hAnsiTheme="minorEastAsia" w:eastAsiaTheme="minorEastAsia"/>
          <w:b/>
          <w:sz w:val="28"/>
          <w:szCs w:val="28"/>
        </w:rPr>
      </w:pPr>
      <w:r>
        <w:rPr>
          <w:rFonts w:hint="eastAsia" w:asciiTheme="minorEastAsia" w:hAnsiTheme="minorEastAsia" w:eastAsiaTheme="minorEastAsia"/>
          <w:b/>
          <w:sz w:val="28"/>
          <w:szCs w:val="28"/>
        </w:rPr>
        <w:t>十、一般性支出情况</w:t>
      </w:r>
    </w:p>
    <w:p>
      <w:pPr>
        <w:pStyle w:val="1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本部门2021年开支会议费23.02万元，开支培训费59.65万元，具体见以下附表。</w:t>
      </w:r>
    </w:p>
    <w:tbl>
      <w:tblPr>
        <w:tblStyle w:val="6"/>
        <w:tblW w:w="10367" w:type="dxa"/>
        <w:tblInd w:w="89" w:type="dxa"/>
        <w:tblLayout w:type="autofit"/>
        <w:tblCellMar>
          <w:top w:w="0" w:type="dxa"/>
          <w:left w:w="108" w:type="dxa"/>
          <w:bottom w:w="0" w:type="dxa"/>
          <w:right w:w="108" w:type="dxa"/>
        </w:tblCellMar>
      </w:tblPr>
      <w:tblGrid>
        <w:gridCol w:w="3847"/>
        <w:gridCol w:w="850"/>
        <w:gridCol w:w="4394"/>
        <w:gridCol w:w="1276"/>
      </w:tblGrid>
      <w:tr>
        <w:tblPrEx>
          <w:tblCellMar>
            <w:top w:w="0" w:type="dxa"/>
            <w:left w:w="108" w:type="dxa"/>
            <w:bottom w:w="0" w:type="dxa"/>
            <w:right w:w="108" w:type="dxa"/>
          </w:tblCellMar>
        </w:tblPrEx>
        <w:trPr>
          <w:trHeight w:val="630" w:hRule="atLeast"/>
        </w:trPr>
        <w:tc>
          <w:tcPr>
            <w:tcW w:w="10367" w:type="dxa"/>
            <w:gridSpan w:val="4"/>
            <w:tcBorders>
              <w:top w:val="nil"/>
              <w:left w:val="nil"/>
              <w:bottom w:val="single" w:color="auto" w:sz="4" w:space="0"/>
              <w:right w:val="nil"/>
            </w:tcBorders>
            <w:shd w:val="clear" w:color="auto" w:fill="auto"/>
            <w:noWrap/>
            <w:vAlign w:val="center"/>
          </w:tcPr>
          <w:p>
            <w:pPr>
              <w:widowControl/>
              <w:jc w:val="center"/>
              <w:rPr>
                <w:rFonts w:ascii="宋体" w:hAnsi="宋体" w:eastAsia="宋体" w:cs="宋体"/>
                <w:bCs/>
                <w:color w:val="000000"/>
                <w:kern w:val="0"/>
                <w:sz w:val="28"/>
                <w:szCs w:val="28"/>
              </w:rPr>
            </w:pPr>
          </w:p>
          <w:p>
            <w:pPr>
              <w:widowControl/>
              <w:jc w:val="center"/>
              <w:rPr>
                <w:rFonts w:ascii="宋体" w:hAnsi="宋体" w:eastAsia="宋体" w:cs="宋体"/>
                <w:bCs/>
                <w:color w:val="000000"/>
                <w:kern w:val="0"/>
                <w:sz w:val="28"/>
                <w:szCs w:val="28"/>
              </w:rPr>
            </w:pPr>
            <w:r>
              <w:rPr>
                <w:rFonts w:hint="eastAsia" w:ascii="宋体" w:hAnsi="宋体" w:eastAsia="宋体" w:cs="宋体"/>
                <w:bCs/>
                <w:color w:val="000000"/>
                <w:kern w:val="0"/>
                <w:sz w:val="28"/>
                <w:szCs w:val="28"/>
              </w:rPr>
              <w:t>2021年会议费开支明细表</w:t>
            </w:r>
          </w:p>
        </w:tc>
      </w:tr>
      <w:tr>
        <w:tblPrEx>
          <w:tblCellMar>
            <w:top w:w="0" w:type="dxa"/>
            <w:left w:w="108" w:type="dxa"/>
            <w:bottom w:w="0" w:type="dxa"/>
            <w:right w:w="108" w:type="dxa"/>
          </w:tblCellMar>
        </w:tblPrEx>
        <w:trPr>
          <w:trHeight w:val="675"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会议名称</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人数</w:t>
            </w:r>
          </w:p>
        </w:tc>
        <w:tc>
          <w:tcPr>
            <w:tcW w:w="4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会议内容</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开支金额（万元）</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省林科院2020年度自然科学系列高级职称评审会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hint="eastAsia" w:cs="Arial" w:asciiTheme="minorEastAsia" w:hAnsiTheme="minorEastAsia"/>
                <w:sz w:val="20"/>
                <w:szCs w:val="20"/>
              </w:rPr>
              <w:t>30</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sz w:val="20"/>
                <w:szCs w:val="20"/>
              </w:rPr>
            </w:pPr>
            <w:r>
              <w:rPr>
                <w:rFonts w:hint="eastAsia" w:asciiTheme="minorEastAsia" w:hAnsiTheme="minorEastAsia"/>
                <w:sz w:val="20"/>
                <w:szCs w:val="20"/>
              </w:rPr>
              <w:t>自然科学系列高级职称评审</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3.29</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省林学会林业有害生物防治专业委员会</w:t>
            </w:r>
            <w:r>
              <w:rPr>
                <w:rFonts w:cs="Arial" w:asciiTheme="minorEastAsia" w:hAnsiTheme="minorEastAsia"/>
                <w:sz w:val="20"/>
                <w:szCs w:val="20"/>
              </w:rPr>
              <w:t>2020</w:t>
            </w:r>
            <w:r>
              <w:rPr>
                <w:rFonts w:hint="eastAsia" w:asciiTheme="minorEastAsia" w:hAnsiTheme="minorEastAsia"/>
                <w:sz w:val="20"/>
                <w:szCs w:val="20"/>
              </w:rPr>
              <w:t>年度会议（仅报销会议用品）</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74</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sz w:val="20"/>
                <w:szCs w:val="20"/>
              </w:rPr>
            </w:pPr>
            <w:r>
              <w:rPr>
                <w:rFonts w:hint="eastAsia" w:asciiTheme="minorEastAsia" w:hAnsiTheme="minorEastAsia"/>
                <w:sz w:val="20"/>
                <w:szCs w:val="20"/>
              </w:rPr>
              <w:t>通报</w:t>
            </w:r>
            <w:r>
              <w:rPr>
                <w:rFonts w:cs="Arial" w:asciiTheme="minorEastAsia" w:hAnsiTheme="minorEastAsia"/>
                <w:sz w:val="20"/>
                <w:szCs w:val="20"/>
              </w:rPr>
              <w:t>2020</w:t>
            </w:r>
            <w:r>
              <w:rPr>
                <w:rFonts w:hint="eastAsia" w:asciiTheme="minorEastAsia" w:hAnsiTheme="minorEastAsia"/>
                <w:sz w:val="20"/>
                <w:szCs w:val="20"/>
              </w:rPr>
              <w:t>年度工作情况及领导讲话等</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0.20</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博士后开题报告会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7</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博士后做开题报告，专家提问及博士后答辩，专家评议</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0.14</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忍冬产业国家创新联盟成立大会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26</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忍冬产业国家创新联盟成立大会及讨论单位合作发展相关事宜</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1.16</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“基于气缸驱动摆动支撑的全自动榨油机创制及模块化制油工艺”科技成果技术咨询会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9</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现场查看木本油料绿色炼制新制备，研讨我国油茶、油桐、山苍子等特色木本油料产业发展布局，并开展技术咨询。</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0.28</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2021</w:t>
            </w:r>
            <w:r>
              <w:rPr>
                <w:rFonts w:hint="eastAsia" w:asciiTheme="minorEastAsia" w:hAnsiTheme="minorEastAsia"/>
                <w:sz w:val="20"/>
                <w:szCs w:val="20"/>
              </w:rPr>
              <w:t>年南方林业有害生物绿色防控学术研讨会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168</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南方林业有害生物绿色防控能力和水平研讨</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5.72</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特色经济林产业链一体化示范研讨会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16</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研讨我国特色经济林产业发展布局</w:t>
            </w:r>
            <w:r>
              <w:rPr>
                <w:rFonts w:cs="Arial" w:asciiTheme="minorEastAsia" w:hAnsiTheme="minorEastAsia"/>
                <w:sz w:val="20"/>
                <w:szCs w:val="20"/>
              </w:rPr>
              <w:t>,</w:t>
            </w:r>
            <w:r>
              <w:rPr>
                <w:rFonts w:hint="eastAsia" w:asciiTheme="minorEastAsia" w:hAnsiTheme="minorEastAsia"/>
                <w:sz w:val="20"/>
                <w:szCs w:val="20"/>
              </w:rPr>
              <w:t>并推进国家重点研发计划项目“特色经济林产业链一体化示范”申报事宜</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1.50</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湖南省草原有害生物普查技术方案评审会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14</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湖南省草原有害生物普查技术方案评审</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0.11</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木本油料科研交流会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9</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1.科技论文写作</w:t>
            </w:r>
            <w:r>
              <w:rPr>
                <w:rFonts w:cs="Arial" w:asciiTheme="minorEastAsia" w:hAnsiTheme="minorEastAsia"/>
                <w:sz w:val="20"/>
                <w:szCs w:val="20"/>
              </w:rPr>
              <w:t>2.</w:t>
            </w:r>
            <w:r>
              <w:rPr>
                <w:rFonts w:hint="eastAsia" w:asciiTheme="minorEastAsia" w:hAnsiTheme="minorEastAsia"/>
                <w:sz w:val="20"/>
                <w:szCs w:val="20"/>
              </w:rPr>
              <w:t>文献阅读、论文写作技巧</w:t>
            </w:r>
            <w:r>
              <w:rPr>
                <w:rFonts w:cs="Arial" w:asciiTheme="minorEastAsia" w:hAnsiTheme="minorEastAsia"/>
                <w:sz w:val="20"/>
                <w:szCs w:val="20"/>
              </w:rPr>
              <w:t>3.</w:t>
            </w:r>
            <w:r>
              <w:rPr>
                <w:rFonts w:hint="eastAsia" w:asciiTheme="minorEastAsia" w:hAnsiTheme="minorEastAsia"/>
                <w:sz w:val="20"/>
                <w:szCs w:val="20"/>
              </w:rPr>
              <w:t>常用软件使用技巧4.实验方案设计和技巧5.设备操作方法</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0.36</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“森林生态连清与生态系统服务功能评估”专家咨询会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15</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对“湖南省森林生态连清与生态系统服务功能研究”书稿进行咨询,重点围绕湖南省森林生态系统固碳释氧、涵养水源、保育土壤、净化空气等服务与碳中和功能的物质量、价值量及生态效益量化补偿等内容进行认证咨询。</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1.02</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“特色经济林产业链一体化示范”研讨会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18</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研讨国家重点研发计划项目“特色经济林产业链一体化示范申报材料编写工作。</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0.79</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“基于气缸驱动摆动支撑的全自动榨油创制及其模块化制油工艺”成果评价会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7</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研讨“基于气缸驱动摆动支撑的全自动榨油创制及其模块化制油工艺”,开展科技成果评价。</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0.65</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中国油茶科创谷油脂分析检测平台建设设计评审会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9</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中国油茶科创谷油脂分析检测平台建设设计评审</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0.14</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湖南省地方标准《黄栀子花果两用栽培技术规程》审查会议</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5</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《黄栀子花果两用栽培技术规程》审查</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0.08</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南方优质板栗良种选育及低产林提质增效关键技术研究成果评价会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7</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对南方优质板栗良种选育及低产林提质增效关键技术研究成果进行评价</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0.18</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“全程低温木本油料亚临界高效制油关键技术与智能装备”现场查定会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18</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对“全程低温木本油料亚临界高效制油关键技术与智能装备”进行现场查定</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0.44</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第四届全国林草种子标准化技术委员会成立大会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10</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第三届林种标委会工作总结、林草种子标准体系介绍、林草种子标准化工作计划、审定相关标准</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0.42</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省部共建木本油料资源利用国家重点实验室学术委员会第二次会议</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16</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汇报2021年度工作总结及下一步工作计划、汇报三个方向研究进展、审定实验室开放基金项目、专家发言形成专家意见</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2.89</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省地方标准《连香树苗木培育技术规程》审查会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13</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审查《连香树苗木培育技术规程》</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0.10</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华南虎野化放归科技创新工作座谈会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23</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1.交流分享各省华南虎野化放归工作进展情况，共同分析当前面临的主要问题和困难2.研讨科技创新技术难点和关键3.为构建形成多省联合的华南虎野化放归协同机制提出思路和建议.</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3.39</w:t>
            </w:r>
          </w:p>
        </w:tc>
      </w:tr>
      <w:tr>
        <w:tblPrEx>
          <w:tblCellMar>
            <w:top w:w="0" w:type="dxa"/>
            <w:left w:w="108" w:type="dxa"/>
            <w:bottom w:w="0" w:type="dxa"/>
            <w:right w:w="108" w:type="dxa"/>
          </w:tblCellMar>
        </w:tblPrEx>
        <w:trPr>
          <w:trHeight w:val="96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“油茶果自动化处理关技术研究及成套装备”项目成果评价会</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12</w:t>
            </w:r>
          </w:p>
        </w:tc>
        <w:tc>
          <w:tcPr>
            <w:tcW w:w="4394" w:type="dxa"/>
            <w:tcBorders>
              <w:top w:val="nil"/>
              <w:left w:val="nil"/>
              <w:bottom w:val="single" w:color="auto" w:sz="4" w:space="0"/>
              <w:right w:val="single" w:color="auto" w:sz="4" w:space="0"/>
            </w:tcBorders>
            <w:shd w:val="clear" w:color="auto" w:fill="auto"/>
            <w:vAlign w:val="center"/>
          </w:tcPr>
          <w:p>
            <w:pPr>
              <w:rPr>
                <w:rFonts w:cs="宋体" w:asciiTheme="minorEastAsia" w:hAnsiTheme="minorEastAsia"/>
                <w:color w:val="000000"/>
                <w:sz w:val="20"/>
                <w:szCs w:val="20"/>
              </w:rPr>
            </w:pPr>
            <w:r>
              <w:rPr>
                <w:rFonts w:hint="eastAsia" w:asciiTheme="minorEastAsia" w:hAnsiTheme="minorEastAsia"/>
                <w:color w:val="000000"/>
                <w:sz w:val="20"/>
                <w:szCs w:val="20"/>
              </w:rPr>
              <w:t>湖南省林学会关于对“油茶果自动化处理关技术研究及成套装备”项目进行成果评价</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0.17</w:t>
            </w:r>
          </w:p>
        </w:tc>
      </w:tr>
      <w:tr>
        <w:tblPrEx>
          <w:tblCellMar>
            <w:top w:w="0" w:type="dxa"/>
            <w:left w:w="108" w:type="dxa"/>
            <w:bottom w:w="0" w:type="dxa"/>
            <w:right w:w="108" w:type="dxa"/>
          </w:tblCellMar>
        </w:tblPrEx>
        <w:trPr>
          <w:trHeight w:val="720" w:hRule="atLeast"/>
        </w:trPr>
        <w:tc>
          <w:tcPr>
            <w:tcW w:w="384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 w:val="20"/>
                <w:szCs w:val="20"/>
              </w:rPr>
            </w:pPr>
            <w:r>
              <w:rPr>
                <w:rFonts w:hint="eastAsia" w:cs="宋体" w:asciiTheme="minorEastAsia" w:hAnsiTheme="minorEastAsia"/>
                <w:color w:val="000000"/>
                <w:kern w:val="0"/>
                <w:sz w:val="20"/>
                <w:szCs w:val="20"/>
              </w:rPr>
              <w:t>合      计</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color w:val="000000"/>
                <w:kern w:val="0"/>
                <w:sz w:val="20"/>
                <w:szCs w:val="20"/>
              </w:rPr>
            </w:pPr>
            <w:r>
              <w:rPr>
                <w:rFonts w:hint="eastAsia" w:cs="宋体" w:asciiTheme="minorEastAsia" w:hAnsiTheme="minorEastAsia"/>
                <w:color w:val="000000"/>
                <w:kern w:val="0"/>
                <w:sz w:val="20"/>
                <w:szCs w:val="20"/>
              </w:rPr>
              <w:t>　</w:t>
            </w:r>
          </w:p>
        </w:tc>
        <w:tc>
          <w:tcPr>
            <w:tcW w:w="4394" w:type="dxa"/>
            <w:tcBorders>
              <w:top w:val="nil"/>
              <w:left w:val="nil"/>
              <w:bottom w:val="single" w:color="auto" w:sz="4" w:space="0"/>
              <w:right w:val="single" w:color="auto" w:sz="4" w:space="0"/>
            </w:tcBorders>
            <w:shd w:val="clear" w:color="auto" w:fill="auto"/>
            <w:vAlign w:val="center"/>
          </w:tcPr>
          <w:p>
            <w:pPr>
              <w:widowControl/>
              <w:jc w:val="left"/>
              <w:rPr>
                <w:rFonts w:cs="宋体" w:asciiTheme="minorEastAsia" w:hAnsiTheme="minorEastAsia"/>
                <w:color w:val="000000"/>
                <w:kern w:val="0"/>
                <w:sz w:val="20"/>
                <w:szCs w:val="20"/>
              </w:rPr>
            </w:pPr>
            <w:r>
              <w:rPr>
                <w:rFonts w:hint="eastAsia" w:cs="宋体" w:asciiTheme="minorEastAsia" w:hAnsiTheme="minorEastAsia"/>
                <w:color w:val="000000"/>
                <w:kern w:val="0"/>
                <w:sz w:val="20"/>
                <w:szCs w:val="20"/>
              </w:rPr>
              <w:t>　</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cs="宋体" w:asciiTheme="minorEastAsia" w:hAnsiTheme="minorEastAsia"/>
                <w:b/>
                <w:bCs/>
                <w:color w:val="000000"/>
                <w:kern w:val="0"/>
                <w:sz w:val="20"/>
                <w:szCs w:val="20"/>
              </w:rPr>
            </w:pPr>
            <w:r>
              <w:rPr>
                <w:rFonts w:hint="eastAsia" w:cs="宋体" w:asciiTheme="minorEastAsia" w:hAnsiTheme="minorEastAsia"/>
                <w:b/>
                <w:bCs/>
                <w:color w:val="000000"/>
                <w:kern w:val="0"/>
                <w:sz w:val="20"/>
                <w:szCs w:val="20"/>
              </w:rPr>
              <w:t xml:space="preserve">23.02 </w:t>
            </w:r>
          </w:p>
        </w:tc>
      </w:tr>
    </w:tbl>
    <w:p>
      <w:pPr>
        <w:pStyle w:val="10"/>
        <w:rPr>
          <w:rFonts w:asciiTheme="minorEastAsia" w:hAnsiTheme="minorEastAsia" w:eastAsiaTheme="minorEastAsia"/>
          <w:sz w:val="20"/>
          <w:szCs w:val="20"/>
        </w:rPr>
      </w:pPr>
    </w:p>
    <w:tbl>
      <w:tblPr>
        <w:tblStyle w:val="6"/>
        <w:tblW w:w="10509" w:type="dxa"/>
        <w:tblInd w:w="89" w:type="dxa"/>
        <w:tblLayout w:type="autofit"/>
        <w:tblCellMar>
          <w:top w:w="0" w:type="dxa"/>
          <w:left w:w="108" w:type="dxa"/>
          <w:bottom w:w="0" w:type="dxa"/>
          <w:right w:w="108" w:type="dxa"/>
        </w:tblCellMar>
      </w:tblPr>
      <w:tblGrid>
        <w:gridCol w:w="3847"/>
        <w:gridCol w:w="850"/>
        <w:gridCol w:w="4536"/>
        <w:gridCol w:w="1276"/>
      </w:tblGrid>
      <w:tr>
        <w:tblPrEx>
          <w:tblCellMar>
            <w:top w:w="0" w:type="dxa"/>
            <w:left w:w="108" w:type="dxa"/>
            <w:bottom w:w="0" w:type="dxa"/>
            <w:right w:w="108" w:type="dxa"/>
          </w:tblCellMar>
        </w:tblPrEx>
        <w:trPr>
          <w:trHeight w:val="568" w:hRule="atLeast"/>
        </w:trPr>
        <w:tc>
          <w:tcPr>
            <w:tcW w:w="10509" w:type="dxa"/>
            <w:gridSpan w:val="4"/>
            <w:tcBorders>
              <w:top w:val="nil"/>
              <w:left w:val="nil"/>
              <w:bottom w:val="single" w:color="auto" w:sz="4" w:space="0"/>
              <w:right w:val="nil"/>
            </w:tcBorders>
            <w:shd w:val="clear" w:color="auto" w:fill="auto"/>
            <w:noWrap/>
            <w:vAlign w:val="center"/>
          </w:tcPr>
          <w:p>
            <w:pPr>
              <w:widowControl/>
              <w:jc w:val="center"/>
              <w:rPr>
                <w:rFonts w:cs="宋体" w:asciiTheme="minorEastAsia" w:hAnsiTheme="minorEastAsia"/>
                <w:bCs/>
                <w:kern w:val="0"/>
                <w:sz w:val="24"/>
                <w:szCs w:val="24"/>
              </w:rPr>
            </w:pPr>
            <w:r>
              <w:rPr>
                <w:rFonts w:hint="eastAsia" w:ascii="宋体" w:hAnsi="宋体" w:eastAsia="宋体" w:cs="宋体"/>
                <w:bCs/>
                <w:color w:val="000000"/>
                <w:kern w:val="0"/>
                <w:sz w:val="28"/>
                <w:szCs w:val="28"/>
              </w:rPr>
              <w:t>2021年培训费开支明细表</w:t>
            </w:r>
          </w:p>
        </w:tc>
      </w:tr>
      <w:tr>
        <w:tblPrEx>
          <w:tblCellMar>
            <w:top w:w="0" w:type="dxa"/>
            <w:left w:w="108" w:type="dxa"/>
            <w:bottom w:w="0" w:type="dxa"/>
            <w:right w:w="108" w:type="dxa"/>
          </w:tblCellMar>
        </w:tblPrEx>
        <w:trPr>
          <w:trHeight w:val="528" w:hRule="atLeast"/>
        </w:trPr>
        <w:tc>
          <w:tcPr>
            <w:tcW w:w="38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cs="宋体" w:asciiTheme="minorEastAsia" w:hAnsiTheme="minorEastAsia"/>
                <w:bCs/>
                <w:kern w:val="0"/>
                <w:sz w:val="20"/>
                <w:szCs w:val="20"/>
              </w:rPr>
            </w:pPr>
            <w:r>
              <w:rPr>
                <w:rFonts w:hint="eastAsia" w:cs="宋体" w:asciiTheme="minorEastAsia" w:hAnsiTheme="minorEastAsia"/>
                <w:bCs/>
                <w:kern w:val="0"/>
                <w:sz w:val="20"/>
                <w:szCs w:val="20"/>
              </w:rPr>
              <w:t>培训名称</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bCs/>
                <w:kern w:val="0"/>
                <w:sz w:val="20"/>
                <w:szCs w:val="20"/>
              </w:rPr>
            </w:pPr>
            <w:r>
              <w:rPr>
                <w:rFonts w:hint="eastAsia" w:cs="宋体" w:asciiTheme="minorEastAsia" w:hAnsiTheme="minorEastAsia"/>
                <w:bCs/>
                <w:kern w:val="0"/>
                <w:sz w:val="20"/>
                <w:szCs w:val="20"/>
              </w:rPr>
              <w:t>人数</w:t>
            </w:r>
          </w:p>
        </w:tc>
        <w:tc>
          <w:tcPr>
            <w:tcW w:w="453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bCs/>
                <w:kern w:val="0"/>
                <w:sz w:val="20"/>
                <w:szCs w:val="20"/>
              </w:rPr>
            </w:pPr>
            <w:r>
              <w:rPr>
                <w:rFonts w:hint="eastAsia" w:cs="宋体" w:asciiTheme="minorEastAsia" w:hAnsiTheme="minorEastAsia"/>
                <w:bCs/>
                <w:kern w:val="0"/>
                <w:sz w:val="20"/>
                <w:szCs w:val="20"/>
              </w:rPr>
              <w:t>培训内容</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cs="宋体" w:asciiTheme="minorEastAsia" w:hAnsiTheme="minorEastAsia"/>
                <w:bCs/>
                <w:kern w:val="0"/>
                <w:sz w:val="20"/>
                <w:szCs w:val="20"/>
              </w:rPr>
            </w:pPr>
            <w:r>
              <w:rPr>
                <w:rFonts w:hint="eastAsia" w:cs="宋体" w:asciiTheme="minorEastAsia" w:hAnsiTheme="minorEastAsia"/>
                <w:bCs/>
                <w:kern w:val="0"/>
                <w:sz w:val="20"/>
                <w:szCs w:val="20"/>
              </w:rPr>
              <w:t>开支金额（万元）</w:t>
            </w:r>
          </w:p>
        </w:tc>
      </w:tr>
      <w:tr>
        <w:tblPrEx>
          <w:tblCellMar>
            <w:top w:w="0" w:type="dxa"/>
            <w:left w:w="108" w:type="dxa"/>
            <w:bottom w:w="0" w:type="dxa"/>
            <w:right w:w="108" w:type="dxa"/>
          </w:tblCellMar>
        </w:tblPrEx>
        <w:trPr>
          <w:trHeight w:val="960" w:hRule="atLeast"/>
        </w:trPr>
        <w:tc>
          <w:tcPr>
            <w:tcW w:w="384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sz w:val="20"/>
                <w:szCs w:val="20"/>
              </w:rPr>
            </w:pPr>
            <w:r>
              <w:rPr>
                <w:rFonts w:hint="eastAsia" w:asciiTheme="minorEastAsia" w:hAnsiTheme="minorEastAsia"/>
                <w:sz w:val="20"/>
                <w:szCs w:val="20"/>
              </w:rPr>
              <w:t>2021年度第一期中央财政林业科技推广示范项目培训</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85</w:t>
            </w:r>
          </w:p>
        </w:tc>
        <w:tc>
          <w:tcPr>
            <w:tcW w:w="4536" w:type="dxa"/>
            <w:tcBorders>
              <w:top w:val="single" w:color="auto" w:sz="4" w:space="0"/>
              <w:left w:val="nil"/>
              <w:bottom w:val="single" w:color="auto" w:sz="4" w:space="0"/>
              <w:right w:val="single" w:color="auto" w:sz="4" w:space="0"/>
            </w:tcBorders>
            <w:shd w:val="clear" w:color="auto" w:fill="auto"/>
            <w:vAlign w:val="center"/>
          </w:tcPr>
          <w:p>
            <w:pPr>
              <w:rPr>
                <w:rFonts w:cs="宋体" w:asciiTheme="minorEastAsia" w:hAnsiTheme="minorEastAsia"/>
                <w:sz w:val="20"/>
                <w:szCs w:val="20"/>
              </w:rPr>
            </w:pPr>
            <w:r>
              <w:rPr>
                <w:rFonts w:cs="Arial" w:asciiTheme="minorEastAsia" w:hAnsiTheme="minorEastAsia"/>
                <w:sz w:val="20"/>
                <w:szCs w:val="20"/>
              </w:rPr>
              <w:t>1</w:t>
            </w:r>
            <w:r>
              <w:rPr>
                <w:rFonts w:hint="eastAsia" w:asciiTheme="minorEastAsia" w:hAnsiTheme="minorEastAsia"/>
                <w:sz w:val="20"/>
                <w:szCs w:val="20"/>
              </w:rPr>
              <w:t>优良杜鹃新品种溪畔白霞繁育及其森林景观应用技术</w:t>
            </w:r>
            <w:r>
              <w:rPr>
                <w:rFonts w:cs="Arial" w:asciiTheme="minorEastAsia" w:hAnsiTheme="minorEastAsia"/>
                <w:sz w:val="20"/>
                <w:szCs w:val="20"/>
              </w:rPr>
              <w:t>;2.</w:t>
            </w:r>
            <w:r>
              <w:rPr>
                <w:rFonts w:hint="eastAsia" w:asciiTheme="minorEastAsia" w:hAnsiTheme="minorEastAsia"/>
                <w:sz w:val="20"/>
                <w:szCs w:val="20"/>
              </w:rPr>
              <w:t>珍贵树种钩栗苗木繁育及造林技术</w:t>
            </w:r>
            <w:r>
              <w:rPr>
                <w:rFonts w:cs="Arial" w:asciiTheme="minorEastAsia" w:hAnsiTheme="minorEastAsia"/>
                <w:sz w:val="20"/>
                <w:szCs w:val="20"/>
              </w:rPr>
              <w:t>;3.</w:t>
            </w:r>
            <w:r>
              <w:rPr>
                <w:rFonts w:hint="eastAsia" w:asciiTheme="minorEastAsia" w:hAnsiTheme="minorEastAsia"/>
                <w:sz w:val="20"/>
                <w:szCs w:val="20"/>
              </w:rPr>
              <w:t>油茶专用配方肥应用及水肥一体化高效调控技术。</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2.36</w:t>
            </w:r>
          </w:p>
        </w:tc>
      </w:tr>
      <w:tr>
        <w:tblPrEx>
          <w:tblCellMar>
            <w:top w:w="0" w:type="dxa"/>
            <w:left w:w="108" w:type="dxa"/>
            <w:bottom w:w="0" w:type="dxa"/>
            <w:right w:w="108" w:type="dxa"/>
          </w:tblCellMar>
        </w:tblPrEx>
        <w:trPr>
          <w:trHeight w:val="833" w:hRule="atLeast"/>
        </w:trPr>
        <w:tc>
          <w:tcPr>
            <w:tcW w:w="384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sz w:val="20"/>
                <w:szCs w:val="20"/>
              </w:rPr>
            </w:pPr>
            <w:r>
              <w:rPr>
                <w:rFonts w:hint="eastAsia" w:asciiTheme="minorEastAsia" w:hAnsiTheme="minorEastAsia"/>
                <w:sz w:val="20"/>
                <w:szCs w:val="20"/>
              </w:rPr>
              <w:t>全省草原有害生物普查培训</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34</w:t>
            </w:r>
          </w:p>
        </w:tc>
        <w:tc>
          <w:tcPr>
            <w:tcW w:w="4536" w:type="dxa"/>
            <w:tcBorders>
              <w:top w:val="single" w:color="auto" w:sz="4" w:space="0"/>
              <w:left w:val="nil"/>
              <w:bottom w:val="single" w:color="auto" w:sz="4" w:space="0"/>
              <w:right w:val="single" w:color="auto" w:sz="4" w:space="0"/>
            </w:tcBorders>
            <w:shd w:val="clear" w:color="auto" w:fill="auto"/>
            <w:vAlign w:val="center"/>
          </w:tcPr>
          <w:p>
            <w:pPr>
              <w:rPr>
                <w:rFonts w:cs="宋体" w:asciiTheme="minorEastAsia" w:hAnsiTheme="minorEastAsia"/>
                <w:sz w:val="20"/>
                <w:szCs w:val="20"/>
              </w:rPr>
            </w:pPr>
            <w:r>
              <w:rPr>
                <w:rFonts w:hint="eastAsia" w:asciiTheme="minorEastAsia" w:hAnsiTheme="minorEastAsia"/>
                <w:sz w:val="20"/>
                <w:szCs w:val="20"/>
              </w:rPr>
              <w:t>草原有害生物普查组织管理及技术要求</w:t>
            </w:r>
            <w:r>
              <w:rPr>
                <w:rFonts w:cs="Arial" w:asciiTheme="minorEastAsia" w:hAnsiTheme="minorEastAsia"/>
                <w:sz w:val="20"/>
                <w:szCs w:val="20"/>
              </w:rPr>
              <w:t>;</w:t>
            </w:r>
            <w:r>
              <w:rPr>
                <w:rFonts w:hint="eastAsia" w:asciiTheme="minorEastAsia" w:hAnsiTheme="minorEastAsia"/>
                <w:sz w:val="20"/>
                <w:szCs w:val="20"/>
              </w:rPr>
              <w:t>草原有害生物普查信息管理系统操作方法</w:t>
            </w:r>
            <w:r>
              <w:rPr>
                <w:rFonts w:cs="Arial" w:asciiTheme="minorEastAsia" w:hAnsiTheme="minorEastAsia"/>
                <w:sz w:val="20"/>
                <w:szCs w:val="20"/>
              </w:rPr>
              <w:t>;</w:t>
            </w:r>
            <w:r>
              <w:rPr>
                <w:rFonts w:hint="eastAsia" w:asciiTheme="minorEastAsia" w:hAnsiTheme="minorEastAsia"/>
                <w:sz w:val="20"/>
                <w:szCs w:val="20"/>
              </w:rPr>
              <w:t>主要草原有害生物种类、普查技术流程、识别和防治方法</w:t>
            </w:r>
            <w:r>
              <w:rPr>
                <w:rFonts w:cs="Arial" w:asciiTheme="minorEastAsia" w:hAnsiTheme="minorEastAsia"/>
                <w:sz w:val="20"/>
                <w:szCs w:val="20"/>
              </w:rPr>
              <w:t>;</w:t>
            </w:r>
            <w:r>
              <w:rPr>
                <w:rFonts w:hint="eastAsia" w:asciiTheme="minorEastAsia" w:hAnsiTheme="minorEastAsia"/>
                <w:sz w:val="20"/>
                <w:szCs w:val="20"/>
              </w:rPr>
              <w:t>外来入侵物种专项普查相关要求等</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3.57</w:t>
            </w:r>
          </w:p>
        </w:tc>
      </w:tr>
      <w:tr>
        <w:tblPrEx>
          <w:tblCellMar>
            <w:top w:w="0" w:type="dxa"/>
            <w:left w:w="108" w:type="dxa"/>
            <w:bottom w:w="0" w:type="dxa"/>
            <w:right w:w="108" w:type="dxa"/>
          </w:tblCellMar>
        </w:tblPrEx>
        <w:trPr>
          <w:trHeight w:val="862" w:hRule="atLeast"/>
        </w:trPr>
        <w:tc>
          <w:tcPr>
            <w:tcW w:w="384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sz w:val="20"/>
                <w:szCs w:val="20"/>
              </w:rPr>
            </w:pPr>
            <w:r>
              <w:rPr>
                <w:rFonts w:hint="eastAsia" w:asciiTheme="minorEastAsia" w:hAnsiTheme="minorEastAsia"/>
                <w:sz w:val="20"/>
                <w:szCs w:val="20"/>
              </w:rPr>
              <w:t>2021年度第二期中央财政林业科技推广示范项目培训</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109</w:t>
            </w:r>
          </w:p>
        </w:tc>
        <w:tc>
          <w:tcPr>
            <w:tcW w:w="4536" w:type="dxa"/>
            <w:tcBorders>
              <w:top w:val="single" w:color="auto" w:sz="4" w:space="0"/>
              <w:left w:val="nil"/>
              <w:bottom w:val="single" w:color="auto" w:sz="4" w:space="0"/>
              <w:right w:val="single" w:color="auto" w:sz="4" w:space="0"/>
            </w:tcBorders>
            <w:shd w:val="clear" w:color="auto" w:fill="auto"/>
            <w:vAlign w:val="center"/>
          </w:tcPr>
          <w:p>
            <w:pPr>
              <w:rPr>
                <w:rFonts w:cs="宋体" w:asciiTheme="minorEastAsia" w:hAnsiTheme="minorEastAsia"/>
                <w:sz w:val="20"/>
                <w:szCs w:val="20"/>
              </w:rPr>
            </w:pPr>
            <w:r>
              <w:rPr>
                <w:rFonts w:hint="eastAsia" w:asciiTheme="minorEastAsia" w:hAnsiTheme="minorEastAsia"/>
                <w:sz w:val="20"/>
                <w:szCs w:val="20"/>
              </w:rPr>
              <w:t>1.蓝莓良种丰产栽培、繁育技术;2.白蜡高产关键技术;3.无花果湘黄心1号苗木繁育与栽培技术;4.金湘玉黄桃栽培技术;5.罗汉果种植高效栽培技术。</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3.94</w:t>
            </w:r>
          </w:p>
        </w:tc>
      </w:tr>
      <w:tr>
        <w:tblPrEx>
          <w:tblCellMar>
            <w:top w:w="0" w:type="dxa"/>
            <w:left w:w="108" w:type="dxa"/>
            <w:bottom w:w="0" w:type="dxa"/>
            <w:right w:w="108" w:type="dxa"/>
          </w:tblCellMar>
        </w:tblPrEx>
        <w:trPr>
          <w:trHeight w:val="479" w:hRule="atLeast"/>
        </w:trPr>
        <w:tc>
          <w:tcPr>
            <w:tcW w:w="3847" w:type="dxa"/>
            <w:tcBorders>
              <w:top w:val="single" w:color="auto" w:sz="4" w:space="0"/>
              <w:left w:val="single" w:color="auto" w:sz="4" w:space="0"/>
              <w:bottom w:val="single" w:color="auto" w:sz="4" w:space="0"/>
              <w:right w:val="single" w:color="000000" w:sz="4" w:space="0"/>
            </w:tcBorders>
            <w:shd w:val="clear" w:color="auto" w:fill="auto"/>
            <w:vAlign w:val="center"/>
          </w:tcPr>
          <w:p>
            <w:pPr>
              <w:rPr>
                <w:rFonts w:cs="宋体" w:asciiTheme="minorEastAsia" w:hAnsiTheme="minorEastAsia"/>
                <w:sz w:val="20"/>
                <w:szCs w:val="20"/>
              </w:rPr>
            </w:pPr>
            <w:r>
              <w:rPr>
                <w:rFonts w:hint="eastAsia" w:asciiTheme="minorEastAsia" w:hAnsiTheme="minorEastAsia"/>
                <w:sz w:val="20"/>
                <w:szCs w:val="20"/>
              </w:rPr>
              <w:t>2021年湖南省松材线虫病鉴定技术培训</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30</w:t>
            </w:r>
          </w:p>
        </w:tc>
        <w:tc>
          <w:tcPr>
            <w:tcW w:w="4536" w:type="dxa"/>
            <w:tcBorders>
              <w:top w:val="single" w:color="auto" w:sz="4" w:space="0"/>
              <w:left w:val="nil"/>
              <w:bottom w:val="single" w:color="auto" w:sz="4" w:space="0"/>
              <w:right w:val="single" w:color="000000" w:sz="4" w:space="0"/>
            </w:tcBorders>
            <w:shd w:val="clear" w:color="auto" w:fill="auto"/>
            <w:vAlign w:val="center"/>
          </w:tcPr>
          <w:p>
            <w:pPr>
              <w:rPr>
                <w:rFonts w:cs="宋体" w:asciiTheme="minorEastAsia" w:hAnsiTheme="minorEastAsia"/>
                <w:sz w:val="20"/>
                <w:szCs w:val="20"/>
              </w:rPr>
            </w:pPr>
            <w:r>
              <w:rPr>
                <w:rFonts w:hint="eastAsia" w:asciiTheme="minorEastAsia" w:hAnsiTheme="minorEastAsia"/>
                <w:sz w:val="20"/>
                <w:szCs w:val="20"/>
              </w:rPr>
              <w:t>1、松材线虫病取样分离技术</w:t>
            </w:r>
            <w:r>
              <w:rPr>
                <w:rFonts w:cs="Arial" w:asciiTheme="minorEastAsia" w:hAnsiTheme="minorEastAsia"/>
                <w:sz w:val="20"/>
                <w:szCs w:val="20"/>
              </w:rPr>
              <w:t>2</w:t>
            </w:r>
            <w:r>
              <w:rPr>
                <w:rFonts w:hint="eastAsia" w:asciiTheme="minorEastAsia" w:hAnsiTheme="minorEastAsia"/>
                <w:sz w:val="20"/>
                <w:szCs w:val="20"/>
              </w:rPr>
              <w:t>、松材线虫形态鉴定技术</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2.35</w:t>
            </w:r>
          </w:p>
        </w:tc>
      </w:tr>
      <w:tr>
        <w:tblPrEx>
          <w:tblCellMar>
            <w:top w:w="0" w:type="dxa"/>
            <w:left w:w="108" w:type="dxa"/>
            <w:bottom w:w="0" w:type="dxa"/>
            <w:right w:w="108" w:type="dxa"/>
          </w:tblCellMar>
        </w:tblPrEx>
        <w:trPr>
          <w:trHeight w:val="720" w:hRule="atLeast"/>
        </w:trPr>
        <w:tc>
          <w:tcPr>
            <w:tcW w:w="384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sz w:val="20"/>
                <w:szCs w:val="20"/>
              </w:rPr>
            </w:pPr>
            <w:r>
              <w:rPr>
                <w:rFonts w:hint="eastAsia" w:asciiTheme="minorEastAsia" w:hAnsiTheme="minorEastAsia"/>
                <w:sz w:val="20"/>
                <w:szCs w:val="20"/>
              </w:rPr>
              <w:t>中央财政林业科技推广项目“自动破竹-智能测厚分级设备产业化推广示范”培训</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47</w:t>
            </w:r>
          </w:p>
        </w:tc>
        <w:tc>
          <w:tcPr>
            <w:tcW w:w="4536" w:type="dxa"/>
            <w:tcBorders>
              <w:top w:val="single" w:color="auto" w:sz="4" w:space="0"/>
              <w:left w:val="nil"/>
              <w:bottom w:val="single" w:color="auto" w:sz="4" w:space="0"/>
              <w:right w:val="single" w:color="auto" w:sz="4" w:space="0"/>
            </w:tcBorders>
            <w:shd w:val="clear" w:color="auto" w:fill="auto"/>
            <w:vAlign w:val="center"/>
          </w:tcPr>
          <w:p>
            <w:pPr>
              <w:rPr>
                <w:rFonts w:cs="宋体" w:asciiTheme="minorEastAsia" w:hAnsiTheme="minorEastAsia"/>
                <w:sz w:val="20"/>
                <w:szCs w:val="20"/>
              </w:rPr>
            </w:pPr>
            <w:r>
              <w:rPr>
                <w:rFonts w:hint="eastAsia" w:asciiTheme="minorEastAsia" w:hAnsiTheme="minorEastAsia"/>
                <w:sz w:val="20"/>
                <w:szCs w:val="20"/>
              </w:rPr>
              <w:t>自动破竹</w:t>
            </w:r>
            <w:r>
              <w:rPr>
                <w:rFonts w:cs="Arial" w:asciiTheme="minorEastAsia" w:hAnsiTheme="minorEastAsia"/>
                <w:sz w:val="20"/>
                <w:szCs w:val="20"/>
              </w:rPr>
              <w:t>-</w:t>
            </w:r>
            <w:r>
              <w:rPr>
                <w:rFonts w:hint="eastAsia" w:asciiTheme="minorEastAsia" w:hAnsiTheme="minorEastAsia"/>
                <w:sz w:val="20"/>
                <w:szCs w:val="20"/>
              </w:rPr>
              <w:t>智能测厚分级设备的主要机构简介、技术参数指标、设备操作与维护等</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1.20</w:t>
            </w:r>
          </w:p>
        </w:tc>
      </w:tr>
      <w:tr>
        <w:tblPrEx>
          <w:tblCellMar>
            <w:top w:w="0" w:type="dxa"/>
            <w:left w:w="108" w:type="dxa"/>
            <w:bottom w:w="0" w:type="dxa"/>
            <w:right w:w="108" w:type="dxa"/>
          </w:tblCellMar>
        </w:tblPrEx>
        <w:trPr>
          <w:trHeight w:val="540" w:hRule="atLeast"/>
        </w:trPr>
        <w:tc>
          <w:tcPr>
            <w:tcW w:w="384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sz w:val="20"/>
                <w:szCs w:val="20"/>
              </w:rPr>
            </w:pPr>
            <w:r>
              <w:rPr>
                <w:rFonts w:hint="eastAsia" w:asciiTheme="minorEastAsia" w:hAnsiTheme="minorEastAsia"/>
                <w:sz w:val="20"/>
                <w:szCs w:val="20"/>
              </w:rPr>
              <w:t>武陵山地石漠化治理及森林经营技术推广项目培训</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47</w:t>
            </w:r>
          </w:p>
        </w:tc>
        <w:tc>
          <w:tcPr>
            <w:tcW w:w="4536" w:type="dxa"/>
            <w:tcBorders>
              <w:top w:val="single" w:color="auto" w:sz="4" w:space="0"/>
              <w:left w:val="nil"/>
              <w:bottom w:val="single" w:color="auto" w:sz="4" w:space="0"/>
              <w:right w:val="single" w:color="auto" w:sz="4" w:space="0"/>
            </w:tcBorders>
            <w:shd w:val="clear" w:color="auto" w:fill="auto"/>
            <w:vAlign w:val="center"/>
          </w:tcPr>
          <w:p>
            <w:pPr>
              <w:rPr>
                <w:rFonts w:cs="宋体" w:asciiTheme="minorEastAsia" w:hAnsiTheme="minorEastAsia"/>
                <w:sz w:val="20"/>
                <w:szCs w:val="20"/>
              </w:rPr>
            </w:pPr>
            <w:r>
              <w:rPr>
                <w:rFonts w:hint="eastAsia" w:asciiTheme="minorEastAsia" w:hAnsiTheme="minorEastAsia"/>
                <w:sz w:val="20"/>
                <w:szCs w:val="20"/>
              </w:rPr>
              <w:t>石漠化地区珍贵树种近自然改造技术、石漠化地区森林质量精准提升技术</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2.02</w:t>
            </w:r>
          </w:p>
        </w:tc>
      </w:tr>
      <w:tr>
        <w:tblPrEx>
          <w:tblCellMar>
            <w:top w:w="0" w:type="dxa"/>
            <w:left w:w="108" w:type="dxa"/>
            <w:bottom w:w="0" w:type="dxa"/>
            <w:right w:w="108" w:type="dxa"/>
          </w:tblCellMar>
        </w:tblPrEx>
        <w:trPr>
          <w:trHeight w:val="720" w:hRule="atLeast"/>
        </w:trPr>
        <w:tc>
          <w:tcPr>
            <w:tcW w:w="384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sz w:val="20"/>
                <w:szCs w:val="20"/>
              </w:rPr>
            </w:pPr>
            <w:r>
              <w:rPr>
                <w:rFonts w:hint="eastAsia" w:asciiTheme="minorEastAsia" w:hAnsiTheme="minorEastAsia"/>
                <w:sz w:val="20"/>
                <w:szCs w:val="20"/>
              </w:rPr>
              <w:t>欧洲投资银行贷款湖南森林提质增效示范项目实施主体技术培训</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108</w:t>
            </w:r>
          </w:p>
        </w:tc>
        <w:tc>
          <w:tcPr>
            <w:tcW w:w="4536" w:type="dxa"/>
            <w:tcBorders>
              <w:top w:val="single" w:color="auto" w:sz="4" w:space="0"/>
              <w:left w:val="nil"/>
              <w:bottom w:val="single" w:color="auto" w:sz="4" w:space="0"/>
              <w:right w:val="single" w:color="auto" w:sz="4" w:space="0"/>
            </w:tcBorders>
            <w:shd w:val="clear" w:color="auto" w:fill="auto"/>
            <w:vAlign w:val="center"/>
          </w:tcPr>
          <w:p>
            <w:pPr>
              <w:rPr>
                <w:rFonts w:cs="Arial" w:asciiTheme="minorEastAsia" w:hAnsiTheme="minorEastAsia"/>
                <w:sz w:val="20"/>
                <w:szCs w:val="20"/>
              </w:rPr>
            </w:pPr>
            <w:r>
              <w:rPr>
                <w:rFonts w:cs="Arial" w:asciiTheme="minorEastAsia" w:hAnsiTheme="minorEastAsia"/>
                <w:sz w:val="20"/>
                <w:szCs w:val="20"/>
              </w:rPr>
              <w:t>1.</w:t>
            </w:r>
            <w:r>
              <w:rPr>
                <w:rFonts w:hint="eastAsia" w:cs="Arial" w:asciiTheme="minorEastAsia" w:hAnsiTheme="minorEastAsia"/>
                <w:sz w:val="20"/>
                <w:szCs w:val="20"/>
              </w:rPr>
              <w:t>近自然森林可持续经营技术</w:t>
            </w:r>
            <w:r>
              <w:rPr>
                <w:rFonts w:cs="Arial" w:asciiTheme="minorEastAsia" w:hAnsiTheme="minorEastAsia"/>
                <w:sz w:val="20"/>
                <w:szCs w:val="20"/>
              </w:rPr>
              <w:t>(</w:t>
            </w:r>
            <w:r>
              <w:rPr>
                <w:rFonts w:hint="eastAsia" w:cs="Arial" w:asciiTheme="minorEastAsia" w:hAnsiTheme="minorEastAsia"/>
                <w:sz w:val="20"/>
                <w:szCs w:val="20"/>
              </w:rPr>
              <w:t>目标树作业方法</w:t>
            </w:r>
            <w:r>
              <w:rPr>
                <w:rFonts w:cs="Arial" w:asciiTheme="minorEastAsia" w:hAnsiTheme="minorEastAsia"/>
                <w:sz w:val="20"/>
                <w:szCs w:val="20"/>
              </w:rPr>
              <w:t>);2.</w:t>
            </w:r>
            <w:r>
              <w:rPr>
                <w:rFonts w:hint="eastAsia" w:cs="Arial" w:asciiTheme="minorEastAsia" w:hAnsiTheme="minorEastAsia"/>
                <w:sz w:val="20"/>
                <w:szCs w:val="20"/>
              </w:rPr>
              <w:t>珍贵树种改培和人工促进更新技术</w:t>
            </w:r>
            <w:r>
              <w:rPr>
                <w:rFonts w:cs="Arial" w:asciiTheme="minorEastAsia" w:hAnsiTheme="minorEastAsia"/>
                <w:sz w:val="20"/>
                <w:szCs w:val="20"/>
              </w:rPr>
              <w:t>;3.</w:t>
            </w:r>
            <w:r>
              <w:rPr>
                <w:rFonts w:hint="eastAsia" w:cs="Arial" w:asciiTheme="minorEastAsia" w:hAnsiTheme="minorEastAsia"/>
                <w:sz w:val="20"/>
                <w:szCs w:val="20"/>
              </w:rPr>
              <w:t>混交林和珍贵树种造林技术</w:t>
            </w:r>
            <w:r>
              <w:rPr>
                <w:rFonts w:cs="Arial" w:asciiTheme="minorEastAsia" w:hAnsiTheme="minorEastAsia"/>
                <w:sz w:val="20"/>
                <w:szCs w:val="20"/>
              </w:rPr>
              <w:t>4.</w:t>
            </w:r>
            <w:r>
              <w:rPr>
                <w:rFonts w:hint="eastAsia" w:cs="Arial" w:asciiTheme="minorEastAsia" w:hAnsiTheme="minorEastAsia"/>
                <w:sz w:val="20"/>
                <w:szCs w:val="20"/>
              </w:rPr>
              <w:t>中幼林抚育和大径材培育技术</w:t>
            </w:r>
            <w:r>
              <w:rPr>
                <w:rFonts w:cs="Arial" w:asciiTheme="minorEastAsia" w:hAnsiTheme="minorEastAsia"/>
                <w:sz w:val="20"/>
                <w:szCs w:val="20"/>
              </w:rPr>
              <w:t>;5.</w:t>
            </w:r>
            <w:r>
              <w:rPr>
                <w:rFonts w:hint="eastAsia" w:cs="Arial" w:asciiTheme="minorEastAsia" w:hAnsiTheme="minorEastAsia"/>
                <w:sz w:val="20"/>
                <w:szCs w:val="20"/>
              </w:rPr>
              <w:t>主要乡土树种识别与功能</w:t>
            </w:r>
            <w:r>
              <w:rPr>
                <w:rFonts w:cs="Arial" w:asciiTheme="minorEastAsia" w:hAnsiTheme="minorEastAsia"/>
                <w:sz w:val="20"/>
                <w:szCs w:val="20"/>
              </w:rPr>
              <w:t>;6.</w:t>
            </w:r>
            <w:r>
              <w:rPr>
                <w:rFonts w:hint="eastAsia" w:cs="Arial" w:asciiTheme="minorEastAsia" w:hAnsiTheme="minorEastAsia"/>
                <w:sz w:val="20"/>
                <w:szCs w:val="20"/>
              </w:rPr>
              <w:t>林地复合经营技术</w:t>
            </w:r>
            <w:r>
              <w:rPr>
                <w:rFonts w:cs="Arial" w:asciiTheme="minorEastAsia" w:hAnsiTheme="minorEastAsia"/>
                <w:sz w:val="20"/>
                <w:szCs w:val="20"/>
              </w:rPr>
              <w:t>7.</w:t>
            </w:r>
            <w:r>
              <w:rPr>
                <w:rFonts w:hint="eastAsia" w:cs="Arial" w:asciiTheme="minorEastAsia" w:hAnsiTheme="minorEastAsia"/>
                <w:sz w:val="20"/>
                <w:szCs w:val="20"/>
              </w:rPr>
              <w:t>环境保护与林业有害生物防治技术</w:t>
            </w:r>
          </w:p>
        </w:tc>
        <w:tc>
          <w:tcPr>
            <w:tcW w:w="1276" w:type="dxa"/>
            <w:tcBorders>
              <w:top w:val="single" w:color="auto" w:sz="4" w:space="0"/>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16.19</w:t>
            </w:r>
          </w:p>
        </w:tc>
      </w:tr>
      <w:tr>
        <w:tblPrEx>
          <w:tblCellMar>
            <w:top w:w="0" w:type="dxa"/>
            <w:left w:w="108" w:type="dxa"/>
            <w:bottom w:w="0" w:type="dxa"/>
            <w:right w:w="108" w:type="dxa"/>
          </w:tblCellMar>
        </w:tblPrEx>
        <w:trPr>
          <w:trHeight w:val="603" w:hRule="atLeast"/>
        </w:trPr>
        <w:tc>
          <w:tcPr>
            <w:tcW w:w="384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宋体" w:asciiTheme="minorEastAsia" w:hAnsiTheme="minorEastAsia"/>
                <w:sz w:val="20"/>
                <w:szCs w:val="20"/>
              </w:rPr>
            </w:pPr>
            <w:r>
              <w:rPr>
                <w:rFonts w:hint="eastAsia" w:asciiTheme="minorEastAsia" w:hAnsiTheme="minorEastAsia"/>
                <w:sz w:val="20"/>
                <w:szCs w:val="20"/>
              </w:rPr>
              <w:t>2021年度第三期中央财政林业科技推广示范项目第二轮培训班</w:t>
            </w:r>
          </w:p>
        </w:tc>
        <w:tc>
          <w:tcPr>
            <w:tcW w:w="850"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113</w:t>
            </w:r>
          </w:p>
        </w:tc>
        <w:tc>
          <w:tcPr>
            <w:tcW w:w="4536" w:type="dxa"/>
            <w:tcBorders>
              <w:top w:val="single" w:color="auto" w:sz="4" w:space="0"/>
              <w:left w:val="nil"/>
              <w:bottom w:val="single" w:color="auto" w:sz="4" w:space="0"/>
              <w:right w:val="single" w:color="auto" w:sz="4" w:space="0"/>
            </w:tcBorders>
            <w:shd w:val="clear" w:color="auto" w:fill="auto"/>
            <w:vAlign w:val="center"/>
          </w:tcPr>
          <w:p>
            <w:pPr>
              <w:rPr>
                <w:rFonts w:cs="Arial" w:asciiTheme="minorEastAsia" w:hAnsiTheme="minorEastAsia"/>
                <w:sz w:val="20"/>
                <w:szCs w:val="20"/>
              </w:rPr>
            </w:pPr>
            <w:r>
              <w:rPr>
                <w:rFonts w:cs="Arial" w:asciiTheme="minorEastAsia" w:hAnsiTheme="minorEastAsia"/>
                <w:sz w:val="20"/>
                <w:szCs w:val="20"/>
              </w:rPr>
              <w:t>1</w:t>
            </w:r>
            <w:r>
              <w:rPr>
                <w:rFonts w:hint="eastAsia" w:cs="Arial" w:asciiTheme="minorEastAsia" w:hAnsiTheme="minorEastAsia"/>
                <w:sz w:val="20"/>
                <w:szCs w:val="20"/>
              </w:rPr>
              <w:t>、湖南省油茶标准化示范区建设</w:t>
            </w:r>
            <w:r>
              <w:rPr>
                <w:rFonts w:cs="Arial" w:asciiTheme="minorEastAsia" w:hAnsiTheme="minorEastAsia"/>
                <w:sz w:val="20"/>
                <w:szCs w:val="20"/>
              </w:rPr>
              <w:t>;2</w:t>
            </w:r>
            <w:r>
              <w:rPr>
                <w:rFonts w:hint="eastAsia" w:cs="Arial" w:asciiTheme="minorEastAsia" w:hAnsiTheme="minorEastAsia"/>
                <w:sz w:val="20"/>
                <w:szCs w:val="20"/>
              </w:rPr>
              <w:t>、武陵山地石漠化治理与森林经营技术</w:t>
            </w:r>
            <w:r>
              <w:rPr>
                <w:rFonts w:cs="Arial" w:asciiTheme="minorEastAsia" w:hAnsiTheme="minorEastAsia"/>
                <w:sz w:val="20"/>
                <w:szCs w:val="20"/>
              </w:rPr>
              <w:t>;3</w:t>
            </w:r>
            <w:r>
              <w:rPr>
                <w:rFonts w:hint="eastAsia" w:cs="Arial" w:asciiTheme="minorEastAsia" w:hAnsiTheme="minorEastAsia"/>
                <w:sz w:val="20"/>
                <w:szCs w:val="20"/>
              </w:rPr>
              <w:t>、湖南常德油茶标准化示范区建设。</w:t>
            </w:r>
            <w:r>
              <w:rPr>
                <w:rFonts w:cs="Arial" w:asciiTheme="minorEastAsia" w:hAnsiTheme="minorEastAsia"/>
                <w:sz w:val="20"/>
                <w:szCs w:val="20"/>
              </w:rPr>
              <w:t>4</w:t>
            </w:r>
            <w:r>
              <w:rPr>
                <w:rFonts w:hint="eastAsia" w:cs="Arial" w:asciiTheme="minorEastAsia" w:hAnsiTheme="minorEastAsia"/>
                <w:sz w:val="20"/>
                <w:szCs w:val="20"/>
              </w:rPr>
              <w:t>、毛竹全营养有机菌肥研制与应用技术</w:t>
            </w:r>
            <w:r>
              <w:rPr>
                <w:rFonts w:cs="Arial" w:asciiTheme="minorEastAsia" w:hAnsiTheme="minorEastAsia"/>
                <w:sz w:val="20"/>
                <w:szCs w:val="20"/>
              </w:rPr>
              <w:t>;5</w:t>
            </w:r>
            <w:r>
              <w:rPr>
                <w:rFonts w:hint="eastAsia" w:cs="Arial" w:asciiTheme="minorEastAsia" w:hAnsiTheme="minorEastAsia"/>
                <w:sz w:val="20"/>
                <w:szCs w:val="20"/>
              </w:rPr>
              <w:t>、竹林食用菌高值栽培及保质加工技术。</w:t>
            </w:r>
          </w:p>
        </w:tc>
        <w:tc>
          <w:tcPr>
            <w:tcW w:w="1276" w:type="dxa"/>
            <w:tcBorders>
              <w:top w:val="nil"/>
              <w:left w:val="nil"/>
              <w:bottom w:val="single" w:color="auto" w:sz="4" w:space="0"/>
              <w:right w:val="single" w:color="auto" w:sz="4" w:space="0"/>
            </w:tcBorders>
            <w:shd w:val="clear" w:color="auto" w:fill="auto"/>
            <w:vAlign w:val="center"/>
          </w:tcPr>
          <w:p>
            <w:pPr>
              <w:jc w:val="center"/>
              <w:rPr>
                <w:rFonts w:cs="Arial" w:asciiTheme="minorEastAsia" w:hAnsiTheme="minorEastAsia"/>
                <w:sz w:val="20"/>
                <w:szCs w:val="20"/>
              </w:rPr>
            </w:pPr>
            <w:r>
              <w:rPr>
                <w:rFonts w:cs="Arial" w:asciiTheme="minorEastAsia" w:hAnsiTheme="minorEastAsia"/>
                <w:sz w:val="20"/>
                <w:szCs w:val="20"/>
              </w:rPr>
              <w:t>3.29</w:t>
            </w:r>
          </w:p>
        </w:tc>
      </w:tr>
      <w:tr>
        <w:tblPrEx>
          <w:tblCellMar>
            <w:top w:w="0" w:type="dxa"/>
            <w:left w:w="108" w:type="dxa"/>
            <w:bottom w:w="0" w:type="dxa"/>
            <w:right w:w="108" w:type="dxa"/>
          </w:tblCellMar>
        </w:tblPrEx>
        <w:trPr>
          <w:trHeight w:val="948" w:hRule="atLeast"/>
        </w:trPr>
        <w:tc>
          <w:tcPr>
            <w:tcW w:w="384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宋体"/>
                <w:sz w:val="20"/>
                <w:szCs w:val="20"/>
              </w:rPr>
            </w:pPr>
            <w:r>
              <w:rPr>
                <w:rFonts w:hint="eastAsia"/>
                <w:sz w:val="20"/>
                <w:szCs w:val="20"/>
              </w:rPr>
              <w:t>中央财政林业科技推广示范项目油茶丰产林冬季抚育管理技术培训</w:t>
            </w:r>
          </w:p>
        </w:tc>
        <w:tc>
          <w:tcPr>
            <w:tcW w:w="85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eastAsia="宋体" w:cs="Arial"/>
                <w:sz w:val="20"/>
                <w:szCs w:val="20"/>
              </w:rPr>
            </w:pPr>
            <w:r>
              <w:rPr>
                <w:rFonts w:hint="eastAsia" w:ascii="Arial" w:hAnsi="Arial" w:cs="Arial"/>
                <w:sz w:val="20"/>
                <w:szCs w:val="20"/>
              </w:rPr>
              <w:t>85</w:t>
            </w:r>
          </w:p>
        </w:tc>
        <w:tc>
          <w:tcPr>
            <w:tcW w:w="4536" w:type="dxa"/>
            <w:tcBorders>
              <w:top w:val="single" w:color="auto" w:sz="4" w:space="0"/>
              <w:left w:val="nil"/>
              <w:bottom w:val="single" w:color="auto" w:sz="4" w:space="0"/>
              <w:right w:val="single" w:color="auto" w:sz="4" w:space="0"/>
            </w:tcBorders>
            <w:shd w:val="clear" w:color="auto" w:fill="auto"/>
            <w:vAlign w:val="center"/>
          </w:tcPr>
          <w:p>
            <w:pPr>
              <w:rPr>
                <w:rFonts w:ascii="Arial" w:hAnsi="Arial" w:eastAsia="宋体" w:cs="Arial"/>
                <w:sz w:val="20"/>
                <w:szCs w:val="20"/>
              </w:rPr>
            </w:pPr>
            <w:r>
              <w:rPr>
                <w:rFonts w:ascii="Arial" w:hAnsi="Arial" w:cs="Arial"/>
                <w:sz w:val="20"/>
                <w:szCs w:val="20"/>
              </w:rPr>
              <w:t>1、油茶丰产林施肥技术;2、油茶丰产林修剪技术;3.茶油加工技术</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eastAsia="宋体" w:cs="Arial"/>
                <w:sz w:val="20"/>
                <w:szCs w:val="20"/>
              </w:rPr>
            </w:pPr>
            <w:r>
              <w:rPr>
                <w:rFonts w:hint="eastAsia" w:ascii="Arial" w:hAnsi="Arial" w:cs="Arial"/>
                <w:sz w:val="20"/>
                <w:szCs w:val="20"/>
              </w:rPr>
              <w:t>4.57</w:t>
            </w:r>
          </w:p>
        </w:tc>
      </w:tr>
      <w:tr>
        <w:tblPrEx>
          <w:tblCellMar>
            <w:top w:w="0" w:type="dxa"/>
            <w:left w:w="108" w:type="dxa"/>
            <w:bottom w:w="0" w:type="dxa"/>
            <w:right w:w="108" w:type="dxa"/>
          </w:tblCellMar>
        </w:tblPrEx>
        <w:trPr>
          <w:trHeight w:val="720" w:hRule="atLeast"/>
        </w:trPr>
        <w:tc>
          <w:tcPr>
            <w:tcW w:w="384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宋体"/>
                <w:sz w:val="20"/>
                <w:szCs w:val="20"/>
              </w:rPr>
            </w:pPr>
            <w:r>
              <w:rPr>
                <w:rFonts w:hint="eastAsia"/>
                <w:sz w:val="20"/>
                <w:szCs w:val="20"/>
              </w:rPr>
              <w:t>2021年湖南板栗产区低产林截干嫁接换优技术培训</w:t>
            </w:r>
          </w:p>
        </w:tc>
        <w:tc>
          <w:tcPr>
            <w:tcW w:w="850" w:type="dxa"/>
            <w:tcBorders>
              <w:top w:val="nil"/>
              <w:left w:val="nil"/>
              <w:bottom w:val="single" w:color="auto" w:sz="4" w:space="0"/>
              <w:right w:val="single" w:color="auto" w:sz="4" w:space="0"/>
            </w:tcBorders>
            <w:shd w:val="clear" w:color="auto" w:fill="auto"/>
            <w:vAlign w:val="center"/>
          </w:tcPr>
          <w:p>
            <w:pPr>
              <w:jc w:val="center"/>
              <w:rPr>
                <w:rFonts w:ascii="Arial" w:hAnsi="Arial" w:eastAsia="宋体" w:cs="Arial"/>
                <w:sz w:val="20"/>
                <w:szCs w:val="20"/>
              </w:rPr>
            </w:pPr>
            <w:r>
              <w:rPr>
                <w:rFonts w:ascii="Arial" w:hAnsi="Arial" w:cs="Arial"/>
                <w:sz w:val="20"/>
                <w:szCs w:val="20"/>
              </w:rPr>
              <w:t>75</w:t>
            </w:r>
          </w:p>
        </w:tc>
        <w:tc>
          <w:tcPr>
            <w:tcW w:w="4536" w:type="dxa"/>
            <w:tcBorders>
              <w:top w:val="single" w:color="auto" w:sz="4" w:space="0"/>
              <w:left w:val="nil"/>
              <w:bottom w:val="single" w:color="auto" w:sz="4" w:space="0"/>
              <w:right w:val="single" w:color="auto" w:sz="4" w:space="0"/>
            </w:tcBorders>
            <w:shd w:val="clear" w:color="auto" w:fill="auto"/>
            <w:vAlign w:val="center"/>
          </w:tcPr>
          <w:p>
            <w:pPr>
              <w:rPr>
                <w:rFonts w:ascii="Arial" w:hAnsi="Arial" w:eastAsia="宋体" w:cs="Arial"/>
                <w:sz w:val="20"/>
                <w:szCs w:val="20"/>
              </w:rPr>
            </w:pPr>
            <w:r>
              <w:rPr>
                <w:rFonts w:ascii="Arial" w:hAnsi="Arial" w:cs="Arial"/>
                <w:sz w:val="20"/>
                <w:szCs w:val="20"/>
              </w:rPr>
              <w:t>1.湖南省板栗标准化示范区建设;2.板栗低产林改造及经济效益分析;3.板栗修剪技术要点。</w:t>
            </w:r>
          </w:p>
        </w:tc>
        <w:tc>
          <w:tcPr>
            <w:tcW w:w="1276" w:type="dxa"/>
            <w:tcBorders>
              <w:top w:val="nil"/>
              <w:left w:val="nil"/>
              <w:bottom w:val="single" w:color="auto" w:sz="4" w:space="0"/>
              <w:right w:val="single" w:color="auto" w:sz="4" w:space="0"/>
            </w:tcBorders>
            <w:shd w:val="clear" w:color="auto" w:fill="auto"/>
            <w:vAlign w:val="center"/>
          </w:tcPr>
          <w:p>
            <w:pPr>
              <w:jc w:val="center"/>
              <w:rPr>
                <w:rFonts w:ascii="Arial" w:hAnsi="Arial" w:eastAsia="宋体" w:cs="Arial"/>
                <w:sz w:val="20"/>
                <w:szCs w:val="20"/>
              </w:rPr>
            </w:pPr>
            <w:r>
              <w:rPr>
                <w:rFonts w:ascii="Arial" w:hAnsi="Arial" w:cs="Arial"/>
                <w:sz w:val="20"/>
                <w:szCs w:val="20"/>
              </w:rPr>
              <w:t>1.00</w:t>
            </w:r>
          </w:p>
        </w:tc>
      </w:tr>
      <w:tr>
        <w:tblPrEx>
          <w:tblCellMar>
            <w:top w:w="0" w:type="dxa"/>
            <w:left w:w="108" w:type="dxa"/>
            <w:bottom w:w="0" w:type="dxa"/>
            <w:right w:w="108" w:type="dxa"/>
          </w:tblCellMar>
        </w:tblPrEx>
        <w:trPr>
          <w:trHeight w:val="720" w:hRule="atLeast"/>
        </w:trPr>
        <w:tc>
          <w:tcPr>
            <w:tcW w:w="384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宋体"/>
                <w:sz w:val="20"/>
                <w:szCs w:val="20"/>
              </w:rPr>
            </w:pPr>
            <w:r>
              <w:rPr>
                <w:rFonts w:hint="eastAsia"/>
                <w:sz w:val="20"/>
                <w:szCs w:val="20"/>
              </w:rPr>
              <w:t>全省公益林生态监测评价技术培训</w:t>
            </w:r>
          </w:p>
        </w:tc>
        <w:tc>
          <w:tcPr>
            <w:tcW w:w="850" w:type="dxa"/>
            <w:tcBorders>
              <w:top w:val="nil"/>
              <w:left w:val="nil"/>
              <w:bottom w:val="single" w:color="auto" w:sz="4" w:space="0"/>
              <w:right w:val="single" w:color="auto" w:sz="4" w:space="0"/>
            </w:tcBorders>
            <w:shd w:val="clear" w:color="auto" w:fill="auto"/>
            <w:vAlign w:val="center"/>
          </w:tcPr>
          <w:p>
            <w:pPr>
              <w:jc w:val="center"/>
              <w:rPr>
                <w:rFonts w:ascii="Arial" w:hAnsi="Arial" w:eastAsia="宋体" w:cs="Arial"/>
                <w:sz w:val="20"/>
                <w:szCs w:val="20"/>
              </w:rPr>
            </w:pPr>
            <w:r>
              <w:rPr>
                <w:rFonts w:ascii="Arial" w:hAnsi="Arial" w:cs="Arial"/>
                <w:sz w:val="20"/>
                <w:szCs w:val="20"/>
              </w:rPr>
              <w:t>174</w:t>
            </w:r>
          </w:p>
        </w:tc>
        <w:tc>
          <w:tcPr>
            <w:tcW w:w="4536"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sz w:val="20"/>
                <w:szCs w:val="20"/>
              </w:rPr>
            </w:pPr>
            <w:r>
              <w:rPr>
                <w:rFonts w:hint="eastAsia"/>
                <w:sz w:val="20"/>
                <w:szCs w:val="20"/>
              </w:rPr>
              <w:t>1.公益林管理政策解读；</w:t>
            </w:r>
            <w:r>
              <w:rPr>
                <w:rFonts w:ascii="Arial" w:hAnsi="Arial" w:cs="Arial"/>
                <w:sz w:val="20"/>
                <w:szCs w:val="20"/>
              </w:rPr>
              <w:t>2.2020</w:t>
            </w:r>
            <w:r>
              <w:rPr>
                <w:rFonts w:hint="eastAsia"/>
                <w:sz w:val="20"/>
                <w:szCs w:val="20"/>
              </w:rPr>
              <w:t>年公益林生态监测评价成果通报；</w:t>
            </w:r>
            <w:r>
              <w:rPr>
                <w:rFonts w:ascii="Arial" w:hAnsi="Arial" w:cs="Arial"/>
                <w:sz w:val="20"/>
                <w:szCs w:val="20"/>
              </w:rPr>
              <w:t>3.</w:t>
            </w:r>
            <w:r>
              <w:rPr>
                <w:rFonts w:hint="eastAsia"/>
                <w:sz w:val="20"/>
                <w:szCs w:val="20"/>
              </w:rPr>
              <w:t>生态产品价值核算方法讲解。</w:t>
            </w:r>
          </w:p>
        </w:tc>
        <w:tc>
          <w:tcPr>
            <w:tcW w:w="1276" w:type="dxa"/>
            <w:tcBorders>
              <w:top w:val="nil"/>
              <w:left w:val="nil"/>
              <w:bottom w:val="single" w:color="auto" w:sz="4" w:space="0"/>
              <w:right w:val="single" w:color="auto" w:sz="4" w:space="0"/>
            </w:tcBorders>
            <w:shd w:val="clear" w:color="auto" w:fill="auto"/>
            <w:vAlign w:val="center"/>
          </w:tcPr>
          <w:p>
            <w:pPr>
              <w:jc w:val="center"/>
              <w:rPr>
                <w:rFonts w:ascii="Arial" w:hAnsi="Arial" w:eastAsia="宋体" w:cs="Arial"/>
                <w:sz w:val="20"/>
                <w:szCs w:val="20"/>
              </w:rPr>
            </w:pPr>
            <w:r>
              <w:rPr>
                <w:rFonts w:ascii="Arial" w:hAnsi="Arial" w:cs="Arial"/>
                <w:sz w:val="20"/>
                <w:szCs w:val="20"/>
              </w:rPr>
              <w:t>13.66</w:t>
            </w:r>
          </w:p>
        </w:tc>
      </w:tr>
      <w:tr>
        <w:tblPrEx>
          <w:tblCellMar>
            <w:top w:w="0" w:type="dxa"/>
            <w:left w:w="108" w:type="dxa"/>
            <w:bottom w:w="0" w:type="dxa"/>
            <w:right w:w="108" w:type="dxa"/>
          </w:tblCellMar>
        </w:tblPrEx>
        <w:trPr>
          <w:trHeight w:val="720" w:hRule="atLeast"/>
        </w:trPr>
        <w:tc>
          <w:tcPr>
            <w:tcW w:w="384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宋体"/>
                <w:sz w:val="20"/>
                <w:szCs w:val="20"/>
              </w:rPr>
            </w:pPr>
            <w:r>
              <w:rPr>
                <w:rFonts w:hint="eastAsia"/>
                <w:sz w:val="20"/>
                <w:szCs w:val="20"/>
              </w:rPr>
              <w:t>中央财政林业科技推广项目“油茶籽深加工及综合利用技术示范与推广”培训</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eastAsia="宋体" w:cs="Arial"/>
                <w:sz w:val="20"/>
                <w:szCs w:val="20"/>
              </w:rPr>
            </w:pPr>
            <w:r>
              <w:rPr>
                <w:rFonts w:ascii="Arial" w:hAnsi="Arial" w:cs="Arial"/>
                <w:sz w:val="20"/>
                <w:szCs w:val="20"/>
              </w:rPr>
              <w:t>59</w:t>
            </w:r>
          </w:p>
        </w:tc>
        <w:tc>
          <w:tcPr>
            <w:tcW w:w="453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宋体"/>
                <w:sz w:val="20"/>
                <w:szCs w:val="20"/>
              </w:rPr>
            </w:pPr>
            <w:r>
              <w:rPr>
                <w:rFonts w:hint="eastAsia"/>
                <w:sz w:val="20"/>
                <w:szCs w:val="20"/>
              </w:rPr>
              <w:t>茶油加工及副产物高值利用技术，培训采用课堂教学和现场培训方式进行。</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eastAsia="宋体" w:cs="Arial"/>
                <w:sz w:val="20"/>
                <w:szCs w:val="20"/>
              </w:rPr>
            </w:pPr>
            <w:r>
              <w:rPr>
                <w:rFonts w:ascii="Arial" w:hAnsi="Arial" w:cs="Arial"/>
                <w:sz w:val="20"/>
                <w:szCs w:val="20"/>
              </w:rPr>
              <w:t>0.57</w:t>
            </w:r>
          </w:p>
        </w:tc>
      </w:tr>
      <w:tr>
        <w:tblPrEx>
          <w:tblCellMar>
            <w:top w:w="0" w:type="dxa"/>
            <w:left w:w="108" w:type="dxa"/>
            <w:bottom w:w="0" w:type="dxa"/>
            <w:right w:w="108" w:type="dxa"/>
          </w:tblCellMar>
        </w:tblPrEx>
        <w:trPr>
          <w:trHeight w:val="720" w:hRule="atLeast"/>
        </w:trPr>
        <w:tc>
          <w:tcPr>
            <w:tcW w:w="3847"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宋体"/>
                <w:sz w:val="20"/>
                <w:szCs w:val="20"/>
              </w:rPr>
            </w:pPr>
            <w:r>
              <w:rPr>
                <w:rFonts w:hint="eastAsia"/>
                <w:sz w:val="20"/>
                <w:szCs w:val="20"/>
              </w:rPr>
              <w:t>职工参加技术培训、继续教育培训</w:t>
            </w:r>
          </w:p>
        </w:tc>
        <w:tc>
          <w:tcPr>
            <w:tcW w:w="850" w:type="dxa"/>
            <w:tcBorders>
              <w:top w:val="nil"/>
              <w:left w:val="nil"/>
              <w:bottom w:val="single" w:color="auto" w:sz="4" w:space="0"/>
              <w:right w:val="single" w:color="auto" w:sz="4" w:space="0"/>
            </w:tcBorders>
            <w:shd w:val="clear" w:color="auto" w:fill="auto"/>
            <w:vAlign w:val="center"/>
          </w:tcPr>
          <w:p>
            <w:pPr>
              <w:jc w:val="center"/>
              <w:rPr>
                <w:rFonts w:ascii="Arial" w:hAnsi="Arial" w:eastAsia="宋体" w:cs="Arial"/>
                <w:sz w:val="20"/>
                <w:szCs w:val="20"/>
              </w:rPr>
            </w:pPr>
            <w:r>
              <w:rPr>
                <w:rFonts w:ascii="Arial" w:hAnsi="Arial" w:cs="Arial"/>
                <w:sz w:val="20"/>
                <w:szCs w:val="20"/>
              </w:rPr>
              <w:t>124</w:t>
            </w:r>
          </w:p>
        </w:tc>
        <w:tc>
          <w:tcPr>
            <w:tcW w:w="4536"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sz w:val="20"/>
                <w:szCs w:val="20"/>
              </w:rPr>
            </w:pPr>
            <w:r>
              <w:rPr>
                <w:rFonts w:hint="eastAsia"/>
                <w:sz w:val="20"/>
                <w:szCs w:val="20"/>
              </w:rPr>
              <w:t>有关业务技术培训、事业单位人员继续教育培训</w:t>
            </w:r>
          </w:p>
        </w:tc>
        <w:tc>
          <w:tcPr>
            <w:tcW w:w="1276" w:type="dxa"/>
            <w:tcBorders>
              <w:top w:val="nil"/>
              <w:left w:val="nil"/>
              <w:bottom w:val="single" w:color="auto" w:sz="4" w:space="0"/>
              <w:right w:val="single" w:color="auto" w:sz="4" w:space="0"/>
            </w:tcBorders>
            <w:shd w:val="clear" w:color="auto" w:fill="auto"/>
            <w:vAlign w:val="center"/>
          </w:tcPr>
          <w:p>
            <w:pPr>
              <w:jc w:val="center"/>
              <w:rPr>
                <w:rFonts w:ascii="Arial" w:hAnsi="Arial" w:eastAsia="宋体" w:cs="Arial"/>
                <w:sz w:val="20"/>
                <w:szCs w:val="20"/>
              </w:rPr>
            </w:pPr>
            <w:r>
              <w:rPr>
                <w:rFonts w:ascii="Arial" w:hAnsi="Arial" w:cs="Arial"/>
                <w:sz w:val="20"/>
                <w:szCs w:val="20"/>
              </w:rPr>
              <w:t>4.93</w:t>
            </w:r>
          </w:p>
        </w:tc>
      </w:tr>
      <w:tr>
        <w:tblPrEx>
          <w:tblCellMar>
            <w:top w:w="0" w:type="dxa"/>
            <w:left w:w="108" w:type="dxa"/>
            <w:bottom w:w="0" w:type="dxa"/>
            <w:right w:w="108" w:type="dxa"/>
          </w:tblCellMar>
        </w:tblPrEx>
        <w:trPr>
          <w:trHeight w:val="748" w:hRule="atLeast"/>
        </w:trPr>
        <w:tc>
          <w:tcPr>
            <w:tcW w:w="3847"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合     计</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4536"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59.65</w:t>
            </w:r>
          </w:p>
        </w:tc>
      </w:tr>
    </w:tbl>
    <w:p/>
    <w:p>
      <w:pPr>
        <w:pStyle w:val="10"/>
        <w:rPr>
          <w:rFonts w:asciiTheme="minorEastAsia" w:hAnsiTheme="minorEastAsia" w:eastAsiaTheme="minorEastAsia"/>
          <w:b/>
          <w:sz w:val="28"/>
          <w:szCs w:val="28"/>
        </w:rPr>
      </w:pPr>
      <w:r>
        <w:rPr>
          <w:rFonts w:hint="eastAsia" w:asciiTheme="minorEastAsia" w:hAnsiTheme="minorEastAsia" w:eastAsiaTheme="minorEastAsia"/>
          <w:b/>
          <w:sz w:val="28"/>
          <w:szCs w:val="28"/>
        </w:rPr>
        <w:t>十一、政府采购支出说明</w:t>
      </w:r>
    </w:p>
    <w:p>
      <w:pPr>
        <w:pStyle w:val="1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部门2021年度政府采购支出总额881.77万元，其中：政府采购货物支出606.82万元、政府采购工程支出274.95万元。授予中小企业合同金额881.77万元，占政府采购支出总额的100%，其中：授予小微企业合同金额881.77万元，占授予中小企业合同金额的100%；货物采购授予中小企业合同金额占货物支出金额的100%，工程采购授予中小企业合同金额占工程支出金额的100%。</w:t>
      </w:r>
    </w:p>
    <w:p>
      <w:pPr>
        <w:pStyle w:val="10"/>
        <w:rPr>
          <w:rFonts w:asciiTheme="minorEastAsia" w:hAnsiTheme="minorEastAsia" w:eastAsiaTheme="minorEastAsia"/>
          <w:b/>
          <w:sz w:val="28"/>
          <w:szCs w:val="28"/>
        </w:rPr>
      </w:pPr>
      <w:r>
        <w:rPr>
          <w:rFonts w:hint="eastAsia" w:asciiTheme="minorEastAsia" w:hAnsiTheme="minorEastAsia" w:eastAsiaTheme="minorEastAsia"/>
          <w:b/>
          <w:sz w:val="28"/>
          <w:szCs w:val="28"/>
        </w:rPr>
        <w:t>十二、国有资产占用情况说明</w:t>
      </w:r>
    </w:p>
    <w:p>
      <w:pPr>
        <w:pStyle w:val="1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截至2021年12月31日，省林科院共有车辆5辆，其中，</w:t>
      </w:r>
      <w:r>
        <w:rPr>
          <w:rFonts w:asciiTheme="minorEastAsia" w:hAnsiTheme="minorEastAsia" w:eastAsiaTheme="minorEastAsia"/>
          <w:sz w:val="28"/>
          <w:szCs w:val="28"/>
        </w:rPr>
        <w:t>主要领导干部用车0辆，机要通信用车0辆、应急保障用车0辆、执法执勤用车</w:t>
      </w:r>
      <w:r>
        <w:rPr>
          <w:rFonts w:hint="eastAsia" w:asciiTheme="minorEastAsia" w:hAnsiTheme="minorEastAsia" w:eastAsiaTheme="minorEastAsia"/>
          <w:sz w:val="28"/>
          <w:szCs w:val="28"/>
        </w:rPr>
        <w:t>0</w:t>
      </w:r>
      <w:r>
        <w:rPr>
          <w:rFonts w:asciiTheme="minorEastAsia" w:hAnsiTheme="minorEastAsia" w:eastAsiaTheme="minorEastAsia"/>
          <w:sz w:val="28"/>
          <w:szCs w:val="28"/>
        </w:rPr>
        <w:t>辆、特种专业技术用车</w:t>
      </w:r>
      <w:r>
        <w:rPr>
          <w:rFonts w:hint="eastAsia" w:asciiTheme="minorEastAsia" w:hAnsiTheme="minorEastAsia" w:eastAsiaTheme="minorEastAsia"/>
          <w:sz w:val="28"/>
          <w:szCs w:val="28"/>
        </w:rPr>
        <w:t>0</w:t>
      </w:r>
      <w:r>
        <w:rPr>
          <w:rFonts w:asciiTheme="minorEastAsia" w:hAnsiTheme="minorEastAsia" w:eastAsiaTheme="minorEastAsia"/>
          <w:sz w:val="28"/>
          <w:szCs w:val="28"/>
        </w:rPr>
        <w:t>辆、离退休干部用车</w:t>
      </w:r>
      <w:r>
        <w:rPr>
          <w:rFonts w:hint="eastAsia" w:asciiTheme="minorEastAsia" w:hAnsiTheme="minorEastAsia" w:eastAsiaTheme="minorEastAsia"/>
          <w:sz w:val="28"/>
          <w:szCs w:val="28"/>
        </w:rPr>
        <w:t>0</w:t>
      </w:r>
      <w:r>
        <w:rPr>
          <w:rFonts w:asciiTheme="minorEastAsia" w:hAnsiTheme="minorEastAsia" w:eastAsiaTheme="minorEastAsia"/>
          <w:sz w:val="28"/>
          <w:szCs w:val="28"/>
        </w:rPr>
        <w:t>辆、</w:t>
      </w:r>
      <w:r>
        <w:rPr>
          <w:rFonts w:hint="eastAsia" w:asciiTheme="minorEastAsia" w:hAnsiTheme="minorEastAsia" w:eastAsiaTheme="minorEastAsia"/>
          <w:sz w:val="28"/>
          <w:szCs w:val="28"/>
        </w:rPr>
        <w:t>其他用车5辆，其他用车主要是科研用车、试验林场防火、洒水用车等；单位价值50万元以上通用设备8台（套）；单位价值100万元以上专用设备0台（套）。</w:t>
      </w:r>
    </w:p>
    <w:p>
      <w:pPr>
        <w:pStyle w:val="10"/>
        <w:rPr>
          <w:rFonts w:asciiTheme="minorEastAsia" w:hAnsiTheme="minorEastAsia" w:eastAsiaTheme="minorEastAsia"/>
          <w:b/>
          <w:sz w:val="28"/>
          <w:szCs w:val="28"/>
        </w:rPr>
      </w:pPr>
      <w:r>
        <w:rPr>
          <w:rFonts w:hint="eastAsia" w:asciiTheme="minorEastAsia" w:hAnsiTheme="minorEastAsia" w:eastAsiaTheme="minorEastAsia"/>
          <w:b/>
          <w:sz w:val="28"/>
          <w:szCs w:val="28"/>
        </w:rPr>
        <w:t>十三、2021年度预算绩效情况的说明</w:t>
      </w:r>
    </w:p>
    <w:p>
      <w:pPr>
        <w:pStyle w:val="10"/>
        <w:ind w:firstLine="280" w:firstLineChars="100"/>
        <w:rPr>
          <w:rFonts w:asciiTheme="minorEastAsia" w:hAnsiTheme="minorEastAsia" w:eastAsiaTheme="minorEastAsia"/>
          <w:b/>
          <w:sz w:val="28"/>
          <w:szCs w:val="28"/>
        </w:rPr>
      </w:pPr>
      <w:r>
        <w:rPr>
          <w:rFonts w:hint="eastAsia" w:asciiTheme="minorEastAsia" w:hAnsiTheme="minorEastAsia" w:eastAsiaTheme="minorEastAsia"/>
          <w:b/>
          <w:sz w:val="28"/>
          <w:szCs w:val="28"/>
        </w:rPr>
        <w:t>（1）绩效管理评价工作开展情况</w:t>
      </w:r>
    </w:p>
    <w:p>
      <w:pPr>
        <w:pStyle w:val="10"/>
        <w:ind w:left="405"/>
        <w:rPr>
          <w:rFonts w:asciiTheme="minorEastAsia" w:hAnsiTheme="minorEastAsia" w:eastAsiaTheme="minorEastAsia" w:cstheme="minorBidi"/>
          <w:color w:val="auto"/>
          <w:kern w:val="2"/>
          <w:sz w:val="28"/>
          <w:szCs w:val="28"/>
        </w:rPr>
      </w:pPr>
      <w:r>
        <w:rPr>
          <w:rFonts w:hint="eastAsia" w:asciiTheme="minorEastAsia" w:hAnsiTheme="minorEastAsia"/>
          <w:b/>
          <w:sz w:val="32"/>
          <w:szCs w:val="32"/>
        </w:rPr>
        <w:t>　　</w:t>
      </w:r>
      <w:r>
        <w:rPr>
          <w:rFonts w:hint="eastAsia" w:asciiTheme="minorEastAsia" w:hAnsiTheme="minorEastAsia" w:eastAsiaTheme="minorEastAsia"/>
          <w:sz w:val="28"/>
          <w:szCs w:val="28"/>
        </w:rPr>
        <w:t>根据省科技厅《关于开展2021年度省科技厅部门整体支出绩效自评工作的通知》，我单位及时开展了部门整体支出绩效自评并报送绩效自评材料，涉及一般公共预算支出8014.36万元，全年绩效目标基本实现，但存在预算执行率不高的情况，主要原因是项目跨年度执行项目经费结转较多。</w:t>
      </w:r>
    </w:p>
    <w:p>
      <w:pPr>
        <w:pStyle w:val="10"/>
        <w:ind w:firstLine="560" w:firstLineChars="200"/>
        <w:rPr>
          <w:rFonts w:asciiTheme="minorEastAsia" w:hAnsiTheme="minorEastAsia" w:eastAsiaTheme="minorEastAsia" w:cstheme="minorBidi"/>
          <w:color w:val="auto"/>
          <w:kern w:val="2"/>
          <w:sz w:val="28"/>
          <w:szCs w:val="28"/>
        </w:rPr>
      </w:pPr>
      <w:r>
        <w:rPr>
          <w:rFonts w:hint="eastAsia" w:asciiTheme="minorEastAsia" w:hAnsiTheme="minorEastAsia" w:eastAsiaTheme="minorEastAsia"/>
          <w:b/>
          <w:sz w:val="28"/>
          <w:szCs w:val="28"/>
        </w:rPr>
        <w:t>（2）部门决算中项目绩效自评结果　　</w:t>
      </w:r>
    </w:p>
    <w:p>
      <w:pPr>
        <w:pStyle w:val="1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无部门决算中项目绩效自评结果。                                                                                                              </w:t>
      </w:r>
    </w:p>
    <w:p>
      <w:pPr>
        <w:pStyle w:val="10"/>
        <w:ind w:firstLine="560"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（3）部门整体支出绩效自评结果</w:t>
      </w:r>
    </w:p>
    <w:p>
      <w:pPr>
        <w:pStyle w:val="10"/>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2021年度我单位部门整体支出绩效自评综合得分为91分。</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　</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spacing w:line="500" w:lineRule="exact"/>
        <w:ind w:firstLine="560" w:firstLineChars="200"/>
        <w:rPr>
          <w:rFonts w:ascii="宋体" w:hAnsi="宋体"/>
          <w:sz w:val="28"/>
          <w:szCs w:val="28"/>
        </w:rPr>
      </w:pPr>
      <w:r>
        <w:rPr>
          <w:rFonts w:ascii="宋体" w:hAnsi="宋体"/>
          <w:sz w:val="28"/>
          <w:szCs w:val="28"/>
        </w:rPr>
        <w:t>一、财政拨款收入指财政当年拨付的资金。</w:t>
      </w:r>
    </w:p>
    <w:p>
      <w:pPr>
        <w:spacing w:line="500" w:lineRule="exact"/>
        <w:ind w:firstLine="560" w:firstLineChars="200"/>
        <w:rPr>
          <w:rFonts w:ascii="宋体" w:hAnsi="宋体"/>
          <w:sz w:val="28"/>
          <w:szCs w:val="28"/>
        </w:rPr>
      </w:pPr>
      <w:r>
        <w:rPr>
          <w:rFonts w:ascii="宋体" w:hAnsi="宋体"/>
          <w:sz w:val="28"/>
          <w:szCs w:val="28"/>
        </w:rPr>
        <w:t>二、事业收入指事业单位开展专业业务活动及辅助活动所取 得的收入。</w:t>
      </w:r>
    </w:p>
    <w:p>
      <w:pPr>
        <w:spacing w:line="500" w:lineRule="exact"/>
        <w:ind w:firstLine="560" w:firstLineChars="200"/>
        <w:rPr>
          <w:rFonts w:hint="eastAsia" w:ascii="宋体" w:hAnsi="宋体"/>
          <w:sz w:val="28"/>
          <w:szCs w:val="28"/>
        </w:rPr>
      </w:pPr>
      <w:r>
        <w:rPr>
          <w:rFonts w:ascii="宋体" w:hAnsi="宋体"/>
          <w:sz w:val="28"/>
          <w:szCs w:val="28"/>
        </w:rPr>
        <w:t>三、经营收入指事业单位在专业业务活动及其辅助活动之外 开展非独立核算经营活动取得的收入。</w:t>
      </w:r>
    </w:p>
    <w:p>
      <w:pPr>
        <w:spacing w:line="500" w:lineRule="exact"/>
        <w:ind w:firstLine="560" w:firstLineChars="200"/>
        <w:rPr>
          <w:rFonts w:hint="eastAsia" w:ascii="宋体" w:hAnsi="宋体"/>
          <w:sz w:val="28"/>
          <w:szCs w:val="28"/>
        </w:rPr>
      </w:pPr>
      <w:r>
        <w:rPr>
          <w:rFonts w:ascii="宋体" w:hAnsi="宋体"/>
          <w:sz w:val="28"/>
          <w:szCs w:val="28"/>
        </w:rPr>
        <w:t xml:space="preserve">四、其他收入指除上述“财政拨款收入”，“事业收入”、 “经营收入”等以外的收入。主要是利息收入等。 </w:t>
      </w:r>
    </w:p>
    <w:p>
      <w:pPr>
        <w:spacing w:line="500" w:lineRule="exact"/>
        <w:ind w:firstLine="560" w:firstLineChars="200"/>
        <w:rPr>
          <w:rFonts w:hint="eastAsia" w:ascii="宋体" w:hAnsi="宋体"/>
          <w:sz w:val="28"/>
          <w:szCs w:val="28"/>
        </w:rPr>
      </w:pPr>
      <w:r>
        <w:rPr>
          <w:rFonts w:ascii="宋体" w:hAnsi="宋体"/>
          <w:sz w:val="28"/>
          <w:szCs w:val="28"/>
        </w:rPr>
        <w:t>五、用事业基金弥补收支差额指事业单位在当年的“财政拨 款收入”、“事业收入”、“经营收入”、“其他收入”不足以 安排当年支出的情况下，使用以前年度积累的事业基金事业单位 当年收支相抵后按国家规定提取、用于弥补以后年度收支差额的 基金)弥补本年度收支缺口的资金。</w:t>
      </w:r>
    </w:p>
    <w:p>
      <w:pPr>
        <w:spacing w:line="500" w:lineRule="exact"/>
        <w:ind w:firstLine="560" w:firstLineChars="200"/>
        <w:rPr>
          <w:rFonts w:hint="eastAsia" w:ascii="宋体" w:hAnsi="宋体"/>
          <w:sz w:val="28"/>
          <w:szCs w:val="28"/>
        </w:rPr>
      </w:pPr>
      <w:r>
        <w:rPr>
          <w:rFonts w:ascii="宋体" w:hAnsi="宋体"/>
          <w:sz w:val="28"/>
          <w:szCs w:val="28"/>
        </w:rPr>
        <w:t>六、年初结转和结余指以前年度尚未完成、结转到本年按有 关规定继续使用的资金。</w:t>
      </w:r>
    </w:p>
    <w:p>
      <w:pPr>
        <w:spacing w:line="500" w:lineRule="exact"/>
        <w:ind w:firstLine="560" w:firstLineChars="200"/>
        <w:rPr>
          <w:rFonts w:ascii="宋体" w:hAnsi="宋体"/>
          <w:sz w:val="28"/>
          <w:szCs w:val="28"/>
        </w:rPr>
      </w:pPr>
      <w:r>
        <w:rPr>
          <w:rFonts w:ascii="宋体" w:hAnsi="宋体"/>
          <w:sz w:val="28"/>
          <w:szCs w:val="28"/>
        </w:rPr>
        <w:t xml:space="preserve">七、结余分配指事业单位按规定提取的职工福利基金、事业 基金和缴纳的所得税。 </w:t>
      </w:r>
    </w:p>
    <w:p>
      <w:pPr>
        <w:spacing w:line="500" w:lineRule="exact"/>
        <w:ind w:firstLine="560" w:firstLineChars="200"/>
        <w:rPr>
          <w:rFonts w:hint="eastAsia" w:ascii="宋体" w:hAnsi="宋体"/>
          <w:sz w:val="28"/>
          <w:szCs w:val="28"/>
        </w:rPr>
      </w:pPr>
      <w:r>
        <w:rPr>
          <w:rFonts w:ascii="宋体" w:hAnsi="宋体"/>
          <w:sz w:val="28"/>
          <w:szCs w:val="28"/>
        </w:rPr>
        <w:t>八、年末结转和结余指本年度或以前年度预算安排、因客观 条件发生变化无法按原计划实施，需延迟到以后年度按有关规定 继续使用的资金。</w:t>
      </w:r>
    </w:p>
    <w:p>
      <w:pPr>
        <w:spacing w:line="500" w:lineRule="exact"/>
        <w:ind w:firstLine="560" w:firstLineChars="200"/>
        <w:rPr>
          <w:rFonts w:hint="eastAsia" w:ascii="宋体" w:hAnsi="宋体"/>
          <w:sz w:val="28"/>
          <w:szCs w:val="28"/>
        </w:rPr>
      </w:pPr>
      <w:r>
        <w:rPr>
          <w:rFonts w:ascii="宋体" w:hAnsi="宋体"/>
          <w:sz w:val="28"/>
          <w:szCs w:val="28"/>
        </w:rPr>
        <w:t>九、基本支出指为保障机构正常运转、完成日常工作任务而 发生的人员支出和公用支出。</w:t>
      </w:r>
    </w:p>
    <w:p>
      <w:pPr>
        <w:spacing w:line="500" w:lineRule="exact"/>
        <w:ind w:firstLine="560" w:firstLineChars="200"/>
        <w:rPr>
          <w:rFonts w:ascii="宋体" w:hAnsi="宋体"/>
          <w:sz w:val="28"/>
          <w:szCs w:val="28"/>
        </w:rPr>
      </w:pPr>
      <w:r>
        <w:rPr>
          <w:rFonts w:ascii="宋体" w:hAnsi="宋体"/>
          <w:sz w:val="28"/>
          <w:szCs w:val="28"/>
        </w:rPr>
        <w:t>十、项目支出指在基本支出之外为完成特定行政任务和事业 发展目标所发生的支出。</w:t>
      </w:r>
    </w:p>
    <w:p>
      <w:pPr>
        <w:spacing w:line="500" w:lineRule="exact"/>
        <w:ind w:firstLine="560" w:firstLineChars="200"/>
        <w:rPr>
          <w:rFonts w:hint="eastAsia" w:ascii="宋体" w:hAnsi="宋体"/>
          <w:sz w:val="28"/>
          <w:szCs w:val="28"/>
        </w:rPr>
      </w:pPr>
      <w:r>
        <w:rPr>
          <w:rFonts w:ascii="宋体" w:hAnsi="宋体"/>
          <w:sz w:val="28"/>
          <w:szCs w:val="28"/>
        </w:rPr>
        <w:t>十一、经营支出指事业单位在专业业务活动及其辅助活动之 外开展非独立核算经营活动发生的支出。</w:t>
      </w:r>
    </w:p>
    <w:p>
      <w:pPr>
        <w:spacing w:line="500" w:lineRule="exact"/>
        <w:ind w:firstLine="560" w:firstLineChars="200"/>
        <w:rPr>
          <w:rFonts w:ascii="宋体" w:hAnsi="宋体"/>
          <w:sz w:val="28"/>
          <w:szCs w:val="28"/>
        </w:rPr>
      </w:pPr>
      <w:r>
        <w:rPr>
          <w:rFonts w:ascii="宋体" w:hAnsi="宋体"/>
          <w:sz w:val="28"/>
          <w:szCs w:val="28"/>
        </w:rPr>
        <w:t>十二、“三公”经费：纳入财政预决算管理的“三公”经费， 是指用财政拨款安排的因公出国(境)费、公务用车购置及运行费 和公务接待费。其中，公务接待费反映单位按规定开支的各类公 务接待支出；公务用车购置及运行费反映单位公务用车车辆购置 支出（含车辆购置税），以及燃料费、维修费、保险费等支出； 因公出国（境）费反映单位公务出国（境）的国际旅费、国外城 市间交通费、食宿费等支出。</w:t>
      </w:r>
    </w:p>
    <w:p>
      <w:pPr>
        <w:spacing w:line="500" w:lineRule="exact"/>
        <w:ind w:firstLine="560" w:firstLineChars="200"/>
        <w:rPr>
          <w:rFonts w:ascii="宋体" w:hAnsi="宋体"/>
          <w:sz w:val="28"/>
          <w:szCs w:val="28"/>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pStyle w:val="10"/>
        <w:jc w:val="center"/>
        <w:rPr>
          <w:sz w:val="70"/>
          <w:szCs w:val="70"/>
        </w:rPr>
      </w:pPr>
      <w:r>
        <w:rPr>
          <w:rFonts w:hint="eastAsia"/>
          <w:sz w:val="70"/>
          <w:szCs w:val="70"/>
        </w:rPr>
        <w:t>附件</w:t>
      </w:r>
    </w:p>
    <w:p>
      <w:pPr>
        <w:pStyle w:val="10"/>
        <w:jc w:val="center"/>
        <w:rPr>
          <w:sz w:val="70"/>
          <w:szCs w:val="70"/>
        </w:rPr>
      </w:pPr>
    </w:p>
    <w:p>
      <w:pPr>
        <w:pStyle w:val="10"/>
        <w:jc w:val="center"/>
        <w:rPr>
          <w:sz w:val="70"/>
          <w:szCs w:val="70"/>
        </w:rPr>
      </w:pPr>
    </w:p>
    <w:p>
      <w:pPr>
        <w:pStyle w:val="10"/>
        <w:jc w:val="center"/>
        <w:rPr>
          <w:sz w:val="70"/>
          <w:szCs w:val="70"/>
        </w:rPr>
      </w:pPr>
    </w:p>
    <w:p>
      <w:pPr>
        <w:pStyle w:val="10"/>
        <w:jc w:val="center"/>
        <w:rPr>
          <w:sz w:val="70"/>
          <w:szCs w:val="70"/>
        </w:rPr>
      </w:pPr>
    </w:p>
    <w:p>
      <w:pPr>
        <w:pStyle w:val="10"/>
        <w:jc w:val="center"/>
        <w:rPr>
          <w:sz w:val="70"/>
          <w:szCs w:val="70"/>
        </w:rPr>
      </w:pPr>
    </w:p>
    <w:p>
      <w:pPr>
        <w:pStyle w:val="10"/>
        <w:jc w:val="center"/>
        <w:rPr>
          <w:sz w:val="70"/>
          <w:szCs w:val="70"/>
        </w:rPr>
      </w:pPr>
    </w:p>
    <w:p>
      <w:pPr>
        <w:pStyle w:val="10"/>
        <w:jc w:val="center"/>
        <w:rPr>
          <w:sz w:val="70"/>
          <w:szCs w:val="70"/>
        </w:rPr>
      </w:pPr>
    </w:p>
    <w:p>
      <w:pPr>
        <w:pStyle w:val="10"/>
        <w:jc w:val="center"/>
        <w:rPr>
          <w:sz w:val="70"/>
          <w:szCs w:val="70"/>
        </w:rPr>
      </w:pPr>
    </w:p>
    <w:p>
      <w:pPr>
        <w:jc w:val="center"/>
        <w:rPr>
          <w:rFonts w:ascii="Times New Roman" w:hAnsi="Times New Roman" w:eastAsia="方正小标宋_GBK"/>
          <w:sz w:val="48"/>
          <w:szCs w:val="48"/>
        </w:rPr>
      </w:pPr>
    </w:p>
    <w:p>
      <w:pPr>
        <w:jc w:val="center"/>
        <w:rPr>
          <w:rFonts w:ascii="Times New Roman" w:hAnsi="Times New Roman" w:eastAsia="方正小标宋_GBK"/>
          <w:sz w:val="32"/>
          <w:szCs w:val="32"/>
        </w:rPr>
      </w:pPr>
    </w:p>
    <w:p>
      <w:pPr>
        <w:jc w:val="center"/>
        <w:rPr>
          <w:rFonts w:ascii="黑体" w:hAnsi="黑体" w:eastAsia="黑体"/>
          <w:b/>
          <w:sz w:val="36"/>
          <w:szCs w:val="36"/>
        </w:rPr>
      </w:pPr>
      <w:r>
        <w:rPr>
          <w:rFonts w:ascii="黑体" w:hAnsi="黑体" w:eastAsia="黑体"/>
          <w:b/>
          <w:sz w:val="36"/>
          <w:szCs w:val="36"/>
        </w:rPr>
        <w:t>2021年度</w:t>
      </w:r>
      <w:r>
        <w:rPr>
          <w:rFonts w:hint="eastAsia" w:ascii="黑体" w:hAnsi="黑体" w:eastAsia="黑体"/>
          <w:b/>
          <w:sz w:val="36"/>
          <w:szCs w:val="36"/>
        </w:rPr>
        <w:t>部门</w:t>
      </w:r>
      <w:r>
        <w:rPr>
          <w:rFonts w:ascii="黑体" w:hAnsi="黑体" w:eastAsia="黑体"/>
          <w:b/>
          <w:sz w:val="36"/>
          <w:szCs w:val="36"/>
        </w:rPr>
        <w:t>整体支出绩效评</w:t>
      </w:r>
      <w:r>
        <w:rPr>
          <w:rFonts w:hint="eastAsia" w:ascii="黑体" w:hAnsi="黑体" w:eastAsia="黑体"/>
          <w:b/>
          <w:sz w:val="36"/>
          <w:szCs w:val="36"/>
        </w:rPr>
        <w:t>价</w:t>
      </w:r>
      <w:r>
        <w:rPr>
          <w:rFonts w:ascii="黑体" w:hAnsi="黑体" w:eastAsia="黑体"/>
          <w:b/>
          <w:sz w:val="36"/>
          <w:szCs w:val="36"/>
        </w:rPr>
        <w:t>报告</w:t>
      </w:r>
    </w:p>
    <w:p>
      <w:pPr>
        <w:pStyle w:val="14"/>
        <w:widowControl/>
        <w:numPr>
          <w:ilvl w:val="0"/>
          <w:numId w:val="2"/>
        </w:numPr>
        <w:spacing w:line="600" w:lineRule="exact"/>
        <w:ind w:firstLineChars="0"/>
        <w:rPr>
          <w:rFonts w:ascii="Times New Roman" w:hAnsi="Times New Roman" w:eastAsia="黑体"/>
          <w:sz w:val="32"/>
          <w:szCs w:val="32"/>
        </w:rPr>
      </w:pPr>
      <w:r>
        <w:rPr>
          <w:rFonts w:ascii="Times New Roman" w:hAnsi="Times New Roman" w:eastAsia="黑体"/>
          <w:sz w:val="32"/>
          <w:szCs w:val="32"/>
        </w:rPr>
        <w:t>部门（单位）基本情况</w:t>
      </w:r>
    </w:p>
    <w:p>
      <w:pPr>
        <w:spacing w:line="500" w:lineRule="exact"/>
        <w:ind w:firstLine="560" w:firstLineChars="200"/>
        <w:rPr>
          <w:rFonts w:ascii="宋体" w:hAnsi="宋体"/>
          <w:sz w:val="28"/>
          <w:szCs w:val="28"/>
        </w:rPr>
      </w:pPr>
      <w:r>
        <w:rPr>
          <w:rFonts w:hint="eastAsia" w:ascii="宋体" w:hAnsi="宋体"/>
          <w:sz w:val="28"/>
          <w:szCs w:val="28"/>
        </w:rPr>
        <w:t>湖南省林业科学院是</w:t>
      </w:r>
      <w:r>
        <w:rPr>
          <w:rFonts w:ascii="宋体" w:hAnsi="宋体"/>
          <w:sz w:val="28"/>
          <w:szCs w:val="28"/>
        </w:rPr>
        <w:t>省科技厅二级部门预算拨款单位，行政隶属省林业</w:t>
      </w:r>
      <w:r>
        <w:rPr>
          <w:rFonts w:hint="eastAsia" w:ascii="宋体" w:hAnsi="宋体"/>
          <w:sz w:val="28"/>
          <w:szCs w:val="28"/>
        </w:rPr>
        <w:t>局</w:t>
      </w:r>
      <w:r>
        <w:rPr>
          <w:rFonts w:ascii="宋体" w:hAnsi="宋体"/>
          <w:sz w:val="28"/>
          <w:szCs w:val="28"/>
        </w:rPr>
        <w:t>，是我省专门从事林业与生态领域科学研究和技术推广的公益</w:t>
      </w:r>
      <w:r>
        <w:rPr>
          <w:rFonts w:hint="eastAsia" w:ascii="宋体" w:hAnsi="宋体"/>
          <w:sz w:val="28"/>
          <w:szCs w:val="28"/>
        </w:rPr>
        <w:t>二</w:t>
      </w:r>
      <w:r>
        <w:rPr>
          <w:rFonts w:ascii="宋体" w:hAnsi="宋体"/>
          <w:sz w:val="28"/>
          <w:szCs w:val="28"/>
        </w:rPr>
        <w:t>类</w:t>
      </w:r>
      <w:r>
        <w:rPr>
          <w:rFonts w:hint="eastAsia" w:ascii="宋体" w:hAnsi="宋体"/>
          <w:sz w:val="28"/>
          <w:szCs w:val="28"/>
        </w:rPr>
        <w:t>差</w:t>
      </w:r>
      <w:r>
        <w:rPr>
          <w:rFonts w:ascii="宋体" w:hAnsi="宋体"/>
          <w:sz w:val="28"/>
          <w:szCs w:val="28"/>
        </w:rPr>
        <w:t>额拨款事业单位</w:t>
      </w:r>
      <w:r>
        <w:rPr>
          <w:rFonts w:hint="eastAsia" w:ascii="宋体" w:hAnsi="宋体"/>
          <w:sz w:val="28"/>
          <w:szCs w:val="28"/>
        </w:rPr>
        <w:t>，</w:t>
      </w:r>
      <w:r>
        <w:rPr>
          <w:rFonts w:ascii="宋体" w:hAnsi="宋体"/>
          <w:sz w:val="28"/>
          <w:szCs w:val="28"/>
        </w:rPr>
        <w:t>2007年经国家林业局批准成为</w:t>
      </w:r>
      <w:r>
        <w:rPr>
          <w:rFonts w:hint="eastAsia" w:ascii="宋体" w:hAnsi="宋体"/>
          <w:sz w:val="28"/>
          <w:szCs w:val="28"/>
        </w:rPr>
        <w:t>“</w:t>
      </w:r>
      <w:r>
        <w:rPr>
          <w:rFonts w:ascii="宋体" w:hAnsi="宋体"/>
          <w:sz w:val="28"/>
          <w:szCs w:val="28"/>
        </w:rPr>
        <w:t>中国林业科学研究院湖南分院</w:t>
      </w:r>
      <w:r>
        <w:rPr>
          <w:rFonts w:hint="eastAsia" w:ascii="宋体" w:hAnsi="宋体"/>
          <w:sz w:val="28"/>
          <w:szCs w:val="28"/>
        </w:rPr>
        <w:t>”。研究领域包括用材林、经济林、森林生态、森林保护、林产工业、生物质能、环境工程、自然资源与保护地等。2021年我院经省编制委员会批准由公益二类改革为公益一类科研事业单位，将湖南省林产品质量检验检测中心并入我院。</w:t>
      </w:r>
    </w:p>
    <w:p>
      <w:pPr>
        <w:spacing w:line="500" w:lineRule="exact"/>
        <w:ind w:firstLine="560" w:firstLineChars="200"/>
        <w:rPr>
          <w:rFonts w:ascii="宋体" w:hAnsi="宋体"/>
          <w:sz w:val="28"/>
          <w:szCs w:val="28"/>
        </w:rPr>
      </w:pPr>
      <w:r>
        <w:rPr>
          <w:rFonts w:hint="eastAsia" w:ascii="宋体" w:hAnsi="宋体"/>
          <w:sz w:val="28"/>
          <w:szCs w:val="28"/>
        </w:rPr>
        <w:t>全院共设16个处室，其中管理部门4个、科研业务所10个、测试中心1个、成果转化部门1个。</w:t>
      </w:r>
    </w:p>
    <w:p>
      <w:pPr>
        <w:pStyle w:val="14"/>
        <w:widowControl/>
        <w:spacing w:line="600" w:lineRule="exact"/>
        <w:ind w:firstLineChars="0"/>
        <w:rPr>
          <w:rFonts w:ascii="宋体" w:hAnsi="宋体"/>
          <w:sz w:val="28"/>
          <w:szCs w:val="28"/>
        </w:rPr>
      </w:pPr>
      <w:r>
        <w:rPr>
          <w:rFonts w:hint="eastAsia" w:ascii="宋体" w:hAnsi="宋体"/>
          <w:sz w:val="28"/>
          <w:szCs w:val="28"/>
        </w:rPr>
        <w:t>改革后核定公益一类编制210人， 2021年12月末实有在职职工245人，退休职工153人。</w:t>
      </w:r>
    </w:p>
    <w:p>
      <w:pPr>
        <w:pStyle w:val="14"/>
        <w:widowControl/>
        <w:numPr>
          <w:ilvl w:val="0"/>
          <w:numId w:val="2"/>
        </w:numPr>
        <w:spacing w:line="600" w:lineRule="exact"/>
        <w:ind w:firstLineChars="0"/>
        <w:rPr>
          <w:rFonts w:ascii="黑体" w:hAnsi="黑体" w:eastAsia="黑体"/>
          <w:b/>
          <w:sz w:val="32"/>
          <w:szCs w:val="32"/>
        </w:rPr>
      </w:pPr>
      <w:r>
        <w:rPr>
          <w:rFonts w:ascii="黑体" w:hAnsi="黑体" w:eastAsia="黑体"/>
          <w:b/>
          <w:sz w:val="32"/>
          <w:szCs w:val="32"/>
        </w:rPr>
        <w:t>一般公共预算支出情况</w:t>
      </w:r>
    </w:p>
    <w:p>
      <w:pPr>
        <w:pStyle w:val="14"/>
        <w:widowControl/>
        <w:numPr>
          <w:ilvl w:val="0"/>
          <w:numId w:val="3"/>
        </w:numPr>
        <w:spacing w:line="600" w:lineRule="exact"/>
        <w:ind w:firstLineChars="0"/>
        <w:rPr>
          <w:rFonts w:ascii="黑体" w:hAnsi="黑体" w:eastAsia="黑体"/>
          <w:b/>
          <w:bCs/>
          <w:sz w:val="28"/>
          <w:szCs w:val="28"/>
        </w:rPr>
      </w:pPr>
      <w:r>
        <w:rPr>
          <w:rFonts w:ascii="黑体" w:hAnsi="黑体" w:eastAsia="黑体"/>
          <w:b/>
          <w:bCs/>
          <w:sz w:val="28"/>
          <w:szCs w:val="28"/>
        </w:rPr>
        <w:t>基本支出情况</w:t>
      </w:r>
    </w:p>
    <w:p>
      <w:pPr>
        <w:pStyle w:val="14"/>
        <w:widowControl/>
        <w:spacing w:line="600" w:lineRule="exact"/>
        <w:ind w:firstLine="924" w:firstLineChars="330"/>
        <w:rPr>
          <w:rFonts w:ascii="宋体" w:hAnsi="宋体"/>
          <w:sz w:val="28"/>
          <w:szCs w:val="28"/>
        </w:rPr>
      </w:pPr>
      <w:r>
        <w:rPr>
          <w:rFonts w:hint="eastAsia" w:ascii="宋体" w:hAnsi="宋体"/>
          <w:sz w:val="28"/>
          <w:szCs w:val="28"/>
        </w:rPr>
        <w:t>一般公共预算基本支出共3589.48万元，其中：工资福利支出3349.45万元，对个人和家庭的补助支出240.03万元。一般公共预算基本支出全部用于人员工资和五险两金等人员经费。</w:t>
      </w:r>
    </w:p>
    <w:p>
      <w:pPr>
        <w:pStyle w:val="14"/>
        <w:widowControl/>
        <w:numPr>
          <w:ilvl w:val="0"/>
          <w:numId w:val="3"/>
        </w:numPr>
        <w:spacing w:line="600" w:lineRule="exact"/>
        <w:ind w:firstLineChars="0"/>
        <w:rPr>
          <w:rFonts w:ascii="黑体" w:hAnsi="黑体" w:eastAsia="黑体"/>
          <w:b/>
          <w:bCs/>
          <w:sz w:val="28"/>
          <w:szCs w:val="28"/>
        </w:rPr>
      </w:pPr>
      <w:r>
        <w:rPr>
          <w:rFonts w:ascii="黑体" w:hAnsi="黑体" w:eastAsia="黑体"/>
          <w:b/>
          <w:bCs/>
          <w:sz w:val="28"/>
          <w:szCs w:val="28"/>
        </w:rPr>
        <w:t>项目支出情况</w:t>
      </w:r>
    </w:p>
    <w:p>
      <w:pPr>
        <w:pStyle w:val="14"/>
        <w:widowControl/>
        <w:spacing w:line="600" w:lineRule="exact"/>
        <w:ind w:firstLine="924" w:firstLineChars="330"/>
        <w:rPr>
          <w:rFonts w:ascii="宋体" w:hAnsi="宋体"/>
          <w:sz w:val="28"/>
          <w:szCs w:val="28"/>
        </w:rPr>
      </w:pPr>
      <w:r>
        <w:rPr>
          <w:rFonts w:hint="eastAsia" w:ascii="宋体" w:hAnsi="宋体"/>
          <w:sz w:val="28"/>
          <w:szCs w:val="28"/>
        </w:rPr>
        <w:t>一般公共预算项目经费共支出4424.88万元，其中上年结转项目指标支出3215.52万元，当年项目指标支出1209.35万元。主要项目来源为我院行业主管部门湖南省林业局，主要支出功能分类为：质量基础7.79万元、自然科学基金17.51万元、实验室及相关设施298.11万元、高技术研究20万元、科技条件专项494.44万元、其他科技条件与服务支出100.09万元、学术交流活动13.04万元、重点研发计划100万元、科技奖励5万元、停伐补助5万元、农垦运行75.61万元、病虫害控制60.68万元、农业生产发展3.48万元、其他农业农村支出5.60万元、森林资源培育45.05万元、技术推广与转化402.38万元、森林生态效益补偿264.36万元、自然保护区等管理203.39万元、动植物保护380.82万元、湿地保护79.49万元、对外合作与交流8.11万元、产业化管理184.42万元、林业草原防灾减灾146.65万元、其他林业和草原支出1478.50万元、其他农林水支出1.22万元、公路养护24.14万元。</w:t>
      </w:r>
    </w:p>
    <w:p>
      <w:pPr>
        <w:pStyle w:val="14"/>
        <w:widowControl/>
        <w:numPr>
          <w:ilvl w:val="0"/>
          <w:numId w:val="2"/>
        </w:numPr>
        <w:spacing w:line="600" w:lineRule="exact"/>
        <w:ind w:firstLineChars="0"/>
        <w:jc w:val="left"/>
        <w:rPr>
          <w:rFonts w:ascii="Times New Roman" w:hAnsi="Times New Roman" w:eastAsia="黑体"/>
          <w:sz w:val="32"/>
          <w:szCs w:val="32"/>
        </w:rPr>
      </w:pPr>
      <w:r>
        <w:rPr>
          <w:rFonts w:ascii="Times New Roman" w:hAnsi="Times New Roman" w:eastAsia="黑体"/>
          <w:sz w:val="32"/>
          <w:szCs w:val="32"/>
        </w:rPr>
        <w:t>政府性基金预算支出情况</w:t>
      </w:r>
      <w:r>
        <w:rPr>
          <w:rFonts w:hint="eastAsia" w:ascii="Times New Roman" w:hAnsi="Times New Roman" w:eastAsia="黑体"/>
          <w:sz w:val="32"/>
          <w:szCs w:val="32"/>
        </w:rPr>
        <w:t>　</w:t>
      </w:r>
    </w:p>
    <w:p>
      <w:pPr>
        <w:pStyle w:val="14"/>
        <w:widowControl/>
        <w:spacing w:line="600" w:lineRule="exact"/>
        <w:ind w:left="1360" w:firstLine="0" w:firstLineChars="0"/>
        <w:jc w:val="left"/>
        <w:rPr>
          <w:rFonts w:ascii="宋体" w:hAnsi="宋体"/>
          <w:sz w:val="28"/>
          <w:szCs w:val="28"/>
        </w:rPr>
      </w:pPr>
      <w:r>
        <w:rPr>
          <w:rFonts w:hint="eastAsia" w:ascii="宋体" w:hAnsi="宋体"/>
          <w:sz w:val="28"/>
          <w:szCs w:val="28"/>
        </w:rPr>
        <w:t>无　</w:t>
      </w:r>
    </w:p>
    <w:p>
      <w:pPr>
        <w:pStyle w:val="14"/>
        <w:widowControl/>
        <w:numPr>
          <w:ilvl w:val="0"/>
          <w:numId w:val="2"/>
        </w:numPr>
        <w:spacing w:line="600" w:lineRule="exact"/>
        <w:ind w:firstLineChars="0"/>
        <w:jc w:val="left"/>
        <w:rPr>
          <w:rFonts w:ascii="Times New Roman" w:hAnsi="Times New Roman" w:eastAsia="黑体"/>
          <w:sz w:val="32"/>
          <w:szCs w:val="32"/>
        </w:rPr>
      </w:pPr>
      <w:r>
        <w:rPr>
          <w:rFonts w:ascii="Times New Roman" w:hAnsi="Times New Roman" w:eastAsia="黑体"/>
          <w:sz w:val="32"/>
          <w:szCs w:val="32"/>
        </w:rPr>
        <w:t>国有资本经营预算支出情况</w:t>
      </w:r>
      <w:r>
        <w:rPr>
          <w:rFonts w:hint="eastAsia" w:ascii="Times New Roman" w:hAnsi="Times New Roman" w:eastAsia="黑体"/>
          <w:sz w:val="32"/>
          <w:szCs w:val="32"/>
        </w:rPr>
        <w:t>　</w:t>
      </w:r>
    </w:p>
    <w:p>
      <w:pPr>
        <w:pStyle w:val="14"/>
        <w:widowControl/>
        <w:spacing w:line="600" w:lineRule="exact"/>
        <w:ind w:left="1360" w:firstLine="0" w:firstLineChars="0"/>
        <w:jc w:val="left"/>
        <w:rPr>
          <w:rFonts w:ascii="宋体" w:hAnsi="宋体"/>
          <w:sz w:val="28"/>
          <w:szCs w:val="28"/>
        </w:rPr>
      </w:pPr>
      <w:r>
        <w:rPr>
          <w:rFonts w:hint="eastAsia" w:ascii="宋体" w:hAnsi="宋体"/>
          <w:sz w:val="28"/>
          <w:szCs w:val="28"/>
        </w:rPr>
        <w:t>无</w:t>
      </w:r>
    </w:p>
    <w:p>
      <w:pPr>
        <w:pStyle w:val="14"/>
        <w:widowControl/>
        <w:numPr>
          <w:ilvl w:val="0"/>
          <w:numId w:val="2"/>
        </w:numPr>
        <w:spacing w:line="600" w:lineRule="exact"/>
        <w:ind w:firstLineChars="0"/>
        <w:jc w:val="left"/>
        <w:rPr>
          <w:rFonts w:ascii="Times New Roman" w:hAnsi="Times New Roman" w:eastAsia="黑体"/>
          <w:sz w:val="32"/>
          <w:szCs w:val="32"/>
        </w:rPr>
      </w:pPr>
      <w:r>
        <w:rPr>
          <w:rFonts w:ascii="Times New Roman" w:hAnsi="Times New Roman" w:eastAsia="黑体"/>
          <w:sz w:val="32"/>
          <w:szCs w:val="32"/>
        </w:rPr>
        <w:t>社会保险基金预算支出情况</w:t>
      </w:r>
    </w:p>
    <w:p>
      <w:pPr>
        <w:pStyle w:val="14"/>
        <w:widowControl/>
        <w:spacing w:line="600" w:lineRule="exact"/>
        <w:ind w:left="1360" w:firstLine="0" w:firstLineChars="0"/>
        <w:jc w:val="left"/>
        <w:rPr>
          <w:rFonts w:ascii="宋体" w:hAnsi="宋体"/>
          <w:sz w:val="28"/>
          <w:szCs w:val="28"/>
        </w:rPr>
      </w:pPr>
      <w:r>
        <w:rPr>
          <w:rFonts w:hint="eastAsia" w:ascii="宋体" w:hAnsi="宋体"/>
          <w:sz w:val="28"/>
          <w:szCs w:val="28"/>
        </w:rPr>
        <w:t>无</w:t>
      </w:r>
    </w:p>
    <w:p>
      <w:pPr>
        <w:widowControl/>
        <w:spacing w:line="600" w:lineRule="exact"/>
        <w:ind w:firstLine="645"/>
        <w:jc w:val="left"/>
        <w:rPr>
          <w:rFonts w:ascii="Times New Roman" w:hAnsi="Times New Roman" w:eastAsia="黑体"/>
          <w:sz w:val="32"/>
          <w:szCs w:val="32"/>
        </w:rPr>
      </w:pPr>
      <w:r>
        <w:rPr>
          <w:rFonts w:ascii="Times New Roman" w:hAnsi="Times New Roman" w:eastAsia="黑体"/>
          <w:sz w:val="32"/>
          <w:szCs w:val="32"/>
        </w:rPr>
        <w:t>六、部门（单位）整体支出绩效情况</w:t>
      </w:r>
    </w:p>
    <w:p>
      <w:pPr>
        <w:widowControl/>
        <w:spacing w:line="600" w:lineRule="exact"/>
        <w:ind w:firstLine="560" w:firstLineChars="200"/>
        <w:jc w:val="left"/>
        <w:rPr>
          <w:rFonts w:ascii="Times New Roman" w:hAnsi="Times New Roman" w:eastAsia="黑体"/>
          <w:sz w:val="32"/>
          <w:szCs w:val="32"/>
        </w:rPr>
      </w:pPr>
      <w:r>
        <w:rPr>
          <w:rFonts w:hint="eastAsia" w:ascii="宋体" w:hAnsi="宋体"/>
          <w:sz w:val="28"/>
          <w:szCs w:val="28"/>
        </w:rPr>
        <w:t>1、在实施重大科研项目方面成果丰硕。承担科技部、长沙市等各级揭榜挂帅项目2项，国家自然科学基金项目2项，中国博士后科学基金面上资助3项，省重点研发计划及基金项目6项；组织</w:t>
      </w:r>
      <w:r>
        <w:rPr>
          <w:rFonts w:ascii="宋体" w:hAnsi="宋体"/>
          <w:sz w:val="28"/>
          <w:szCs w:val="28"/>
        </w:rPr>
        <w:t>完成项目验收</w:t>
      </w:r>
      <w:r>
        <w:rPr>
          <w:rFonts w:hint="eastAsia" w:ascii="宋体" w:hAnsi="宋体"/>
          <w:sz w:val="28"/>
          <w:szCs w:val="28"/>
        </w:rPr>
        <w:t>24</w:t>
      </w:r>
      <w:r>
        <w:rPr>
          <w:rFonts w:ascii="宋体" w:hAnsi="宋体"/>
          <w:sz w:val="28"/>
          <w:szCs w:val="28"/>
        </w:rPr>
        <w:t>项</w:t>
      </w:r>
      <w:r>
        <w:rPr>
          <w:rFonts w:hint="eastAsia" w:ascii="宋体" w:hAnsi="宋体"/>
          <w:sz w:val="28"/>
          <w:szCs w:val="28"/>
        </w:rPr>
        <w:t>，绩效考评1</w:t>
      </w:r>
      <w:r>
        <w:rPr>
          <w:rFonts w:ascii="宋体" w:hAnsi="宋体"/>
          <w:sz w:val="28"/>
          <w:szCs w:val="28"/>
        </w:rPr>
        <w:t>12</w:t>
      </w:r>
      <w:r>
        <w:rPr>
          <w:rFonts w:hint="eastAsia" w:ascii="宋体" w:hAnsi="宋体"/>
          <w:sz w:val="28"/>
          <w:szCs w:val="28"/>
        </w:rPr>
        <w:t>个项；发表科技论文114篇（其中SCI论文34篇），获授权专利30项，16项国家和地方标准通过专家评审；牵头完成的科技成果获评梁希科技进步二等奖、三等奖各1项；组织完成科技成果评价4项，其中1项科技成果达国际领先水平，2项达到国际先进水平。省科技重大专项《油茶全产业链提质增效关键技术研究与示范》顺利通过综合绩效评价。</w:t>
      </w:r>
    </w:p>
    <w:p>
      <w:pPr>
        <w:spacing w:line="500" w:lineRule="exact"/>
        <w:ind w:firstLine="560" w:firstLineChars="200"/>
        <w:rPr>
          <w:rFonts w:ascii="宋体" w:hAnsi="宋体"/>
          <w:sz w:val="28"/>
          <w:szCs w:val="28"/>
        </w:rPr>
      </w:pPr>
      <w:r>
        <w:rPr>
          <w:rFonts w:hint="eastAsia" w:ascii="宋体" w:hAnsi="宋体"/>
          <w:sz w:val="28"/>
          <w:szCs w:val="28"/>
        </w:rPr>
        <w:t>2、夯实创新根基，强化人才创新主体地位，积极推进人才团队建设。肖志红成功入选国家林业和草原局创新领军人才；刘汝宽获湖南省青年科技奖、湖南省政府特殊津贴；刘思思入选2021年长沙市杰出创新青年培养计划；1人获评正高级职称，4人获评副高级职称。博士后工作站成功获批独立招收博士后资格，5名博士后进站，1人获评湖南省2021年度优秀博士后创新人才，3人获国家自然科学基金项目，2人获省自然科学基金项目，3人获中国博士后科学基金面上资助。</w:t>
      </w:r>
    </w:p>
    <w:p>
      <w:pPr>
        <w:spacing w:line="500" w:lineRule="exact"/>
        <w:ind w:firstLine="560" w:firstLineChars="200"/>
        <w:rPr>
          <w:rFonts w:ascii="宋体" w:hAnsi="宋体"/>
          <w:sz w:val="28"/>
          <w:szCs w:val="28"/>
        </w:rPr>
      </w:pPr>
      <w:r>
        <w:rPr>
          <w:rFonts w:hint="eastAsia" w:ascii="宋体" w:hAnsi="宋体"/>
          <w:sz w:val="28"/>
          <w:szCs w:val="28"/>
        </w:rPr>
        <w:t>3、建平台，强主业，全面铺开了国家级科技创新平台建设。木本油料资源利用国家重点实验室等4个国家级平台均运行良好，6个创新平台通过定期评估及验收。高标准高水平打造国家重点实验室，筹措资金1400余万元，完成了工程实验室大楼主体工程建设。投入500余万元，购置了气相离子迁移谱仪等标志性仪器设备6台（套），实验室条件能力建设不断增强。编制和</w:t>
      </w:r>
      <w:r>
        <w:rPr>
          <w:rFonts w:ascii="宋体" w:hAnsi="宋体"/>
          <w:sz w:val="28"/>
          <w:szCs w:val="28"/>
        </w:rPr>
        <w:t>通过</w:t>
      </w:r>
      <w:r>
        <w:rPr>
          <w:rFonts w:hint="eastAsia" w:ascii="宋体" w:hAnsi="宋体"/>
          <w:sz w:val="28"/>
          <w:szCs w:val="28"/>
        </w:rPr>
        <w:t>了岳麓山实验室林大林科院片区建设方案以及核心区初步规划设想，中国油茶科创谷各项工作顺利进入具体实施阶段。</w:t>
      </w:r>
    </w:p>
    <w:p>
      <w:pPr>
        <w:spacing w:line="500" w:lineRule="exact"/>
        <w:ind w:firstLine="560" w:firstLineChars="200"/>
        <w:rPr>
          <w:rFonts w:ascii="宋体" w:hAnsi="宋体"/>
          <w:sz w:val="28"/>
          <w:szCs w:val="28"/>
        </w:rPr>
      </w:pPr>
      <w:r>
        <w:rPr>
          <w:rFonts w:hint="eastAsia" w:ascii="宋体" w:hAnsi="宋体"/>
          <w:sz w:val="28"/>
          <w:szCs w:val="28"/>
        </w:rPr>
        <w:t>4、在支撑重大生态工程、服务绿色产业发展方面贡献</w:t>
      </w:r>
      <w:r>
        <w:rPr>
          <w:rFonts w:ascii="宋体" w:hAnsi="宋体"/>
          <w:sz w:val="28"/>
          <w:szCs w:val="28"/>
        </w:rPr>
        <w:t>突出</w:t>
      </w:r>
      <w:r>
        <w:rPr>
          <w:rFonts w:hint="eastAsia" w:ascii="宋体" w:hAnsi="宋体"/>
          <w:sz w:val="28"/>
          <w:szCs w:val="28"/>
        </w:rPr>
        <w:t>。重点参与了湖南省陆地生态系统生态定位观测研究网络中长期发展规划（2021</w:t>
      </w:r>
      <w:r>
        <w:rPr>
          <w:rFonts w:hint="eastAsia" w:eastAsia="方正仿宋_GBK" w:cs="方正仿宋_GBK"/>
          <w:color w:val="000000"/>
          <w:sz w:val="32"/>
          <w:szCs w:val="32"/>
        </w:rPr>
        <w:t>~</w:t>
      </w:r>
      <w:r>
        <w:rPr>
          <w:rFonts w:hint="eastAsia" w:ascii="宋体" w:hAnsi="宋体"/>
          <w:sz w:val="28"/>
          <w:szCs w:val="28"/>
        </w:rPr>
        <w:t>2035）、洞庭湖湿地生态系统保护和修复重大工程总体规划（2021</w:t>
      </w:r>
      <w:r>
        <w:rPr>
          <w:rFonts w:hint="eastAsia" w:eastAsia="方正仿宋_GBK" w:cs="方正仿宋_GBK"/>
          <w:color w:val="000000"/>
          <w:sz w:val="32"/>
          <w:szCs w:val="32"/>
        </w:rPr>
        <w:t>~</w:t>
      </w:r>
      <w:r>
        <w:rPr>
          <w:rFonts w:hint="eastAsia" w:ascii="宋体" w:hAnsi="宋体"/>
          <w:sz w:val="28"/>
          <w:szCs w:val="28"/>
        </w:rPr>
        <w:t>2035）、湖南省国家公园空间布局论证、雪峰山生态功能评价、“洞庭清波”自然保护地专项督查等，解决了一大批技术难点。完成了湖南省森林生态系统服务功能研究，长株潭绿心区森林与湿地生态系统服务功能评估与提升技术等研究工作。指导全省50余个茶油小作坊完成升级改造，支撑运营“湖南茶油”公用品牌。建成了中国油茶科创谷油茶有害生物绿色防控技术示范基地，加快推进省天敌繁育中心提质改造。</w:t>
      </w:r>
    </w:p>
    <w:p>
      <w:pPr>
        <w:pStyle w:val="14"/>
        <w:widowControl/>
        <w:numPr>
          <w:ilvl w:val="0"/>
          <w:numId w:val="4"/>
        </w:numPr>
        <w:spacing w:line="600" w:lineRule="exact"/>
        <w:ind w:firstLineChars="0"/>
        <w:jc w:val="left"/>
        <w:rPr>
          <w:rFonts w:ascii="Times New Roman" w:hAnsi="Times New Roman" w:eastAsia="黑体"/>
          <w:sz w:val="32"/>
          <w:szCs w:val="32"/>
        </w:rPr>
      </w:pPr>
      <w:r>
        <w:rPr>
          <w:rFonts w:ascii="Times New Roman" w:hAnsi="Times New Roman" w:eastAsia="黑体"/>
          <w:sz w:val="32"/>
          <w:szCs w:val="32"/>
        </w:rPr>
        <w:t>存在的问题及原因分析</w:t>
      </w:r>
    </w:p>
    <w:p>
      <w:pPr>
        <w:spacing w:line="500" w:lineRule="exact"/>
        <w:ind w:firstLine="560" w:firstLineChars="200"/>
        <w:rPr>
          <w:rFonts w:ascii="宋体" w:hAnsi="宋体"/>
          <w:sz w:val="28"/>
          <w:szCs w:val="28"/>
        </w:rPr>
      </w:pPr>
      <w:r>
        <w:rPr>
          <w:rFonts w:hint="eastAsia" w:ascii="宋体" w:hAnsi="宋体"/>
          <w:sz w:val="28"/>
          <w:szCs w:val="28"/>
        </w:rPr>
        <w:t>1、人员经费保障不足，运行经费缺口大。年均运行经费缺口在3150万元左右，对营造潜心科研良好环境，激发科研人员创新创业积极性均产生不利影响。高素质科技骨干人才引进难、留不住，制约单位创新能力的提高。</w:t>
      </w:r>
    </w:p>
    <w:p>
      <w:pPr>
        <w:spacing w:line="500" w:lineRule="exact"/>
        <w:ind w:firstLine="560" w:firstLineChars="200"/>
        <w:rPr>
          <w:rFonts w:ascii="宋体" w:hAnsi="宋体"/>
          <w:sz w:val="28"/>
          <w:szCs w:val="28"/>
        </w:rPr>
      </w:pPr>
      <w:r>
        <w:rPr>
          <w:rFonts w:hint="eastAsia" w:ascii="宋体" w:hAnsi="宋体"/>
          <w:sz w:val="28"/>
          <w:szCs w:val="28"/>
        </w:rPr>
        <w:t>2、重点工程后续资金无法全部落实。</w:t>
      </w:r>
      <w:r>
        <w:rPr>
          <w:rFonts w:ascii="宋体" w:hAnsi="宋体"/>
          <w:sz w:val="28"/>
          <w:szCs w:val="28"/>
        </w:rPr>
        <w:t>森林防火综合治理及国家地方联合工程研究中心</w:t>
      </w:r>
      <w:r>
        <w:rPr>
          <w:rFonts w:hint="eastAsia" w:ascii="宋体" w:hAnsi="宋体"/>
          <w:sz w:val="28"/>
          <w:szCs w:val="28"/>
        </w:rPr>
        <w:t>、省部共建木本油料资源利用国家重点实验室等重点工程建设资金缺口严重。科研基地维护与管理、科技平台建设能力不够。</w:t>
      </w:r>
    </w:p>
    <w:p>
      <w:pPr>
        <w:spacing w:line="500" w:lineRule="exact"/>
        <w:ind w:firstLine="560" w:firstLineChars="200"/>
        <w:rPr>
          <w:rFonts w:ascii="宋体" w:hAnsi="宋体"/>
          <w:sz w:val="28"/>
          <w:szCs w:val="28"/>
        </w:rPr>
      </w:pPr>
      <w:r>
        <w:rPr>
          <w:rFonts w:hint="eastAsia" w:ascii="宋体" w:hAnsi="宋体"/>
          <w:sz w:val="28"/>
          <w:szCs w:val="28"/>
        </w:rPr>
        <w:t>3、科研成果转化难，自有资金来源渠道少，财政拨款依存度高。</w:t>
      </w:r>
    </w:p>
    <w:p>
      <w:pPr>
        <w:widowControl/>
        <w:spacing w:line="600" w:lineRule="exact"/>
        <w:ind w:firstLine="560" w:firstLineChars="200"/>
        <w:jc w:val="left"/>
        <w:rPr>
          <w:rFonts w:ascii="宋体" w:hAnsi="宋体"/>
          <w:sz w:val="28"/>
          <w:szCs w:val="28"/>
        </w:rPr>
      </w:pPr>
      <w:r>
        <w:rPr>
          <w:rFonts w:hint="eastAsia" w:ascii="宋体" w:hAnsi="宋体"/>
          <w:sz w:val="28"/>
          <w:szCs w:val="28"/>
        </w:rPr>
        <w:t>4、现有财务人员年龄结构偏大，后备力量培养不足，无法全部适应新会计制度改革对专业素质的要求，且面对每年各类审计、巡视、绩效考核以及各类报表填报繁多的工作，也对财务人员综合素质提出更高标准。</w:t>
      </w:r>
    </w:p>
    <w:p>
      <w:pPr>
        <w:widowControl/>
        <w:spacing w:line="600" w:lineRule="exact"/>
        <w:ind w:firstLine="640" w:firstLineChars="200"/>
        <w:jc w:val="left"/>
        <w:rPr>
          <w:rFonts w:ascii="Times New Roman" w:hAnsi="Times New Roman" w:eastAsia="黑体"/>
          <w:sz w:val="32"/>
          <w:szCs w:val="32"/>
        </w:rPr>
      </w:pPr>
      <w:r>
        <w:rPr>
          <w:rFonts w:ascii="Times New Roman" w:hAnsi="Times New Roman" w:eastAsia="黑体"/>
          <w:sz w:val="32"/>
          <w:szCs w:val="32"/>
        </w:rPr>
        <w:t>八、下一步改进措施</w:t>
      </w:r>
    </w:p>
    <w:p>
      <w:pPr>
        <w:spacing w:line="500" w:lineRule="exact"/>
        <w:ind w:firstLine="560" w:firstLineChars="200"/>
        <w:rPr>
          <w:rFonts w:ascii="宋体" w:hAnsi="宋体"/>
          <w:sz w:val="28"/>
          <w:szCs w:val="28"/>
        </w:rPr>
      </w:pPr>
      <w:r>
        <w:rPr>
          <w:rFonts w:hint="eastAsia" w:ascii="宋体" w:hAnsi="宋体"/>
          <w:sz w:val="28"/>
          <w:szCs w:val="28"/>
        </w:rPr>
        <w:t>1、突出重点难点，确保单位发展。确保重点工程建设开展和职工工资正常发放，确保全院正常运转。</w:t>
      </w:r>
    </w:p>
    <w:p>
      <w:pPr>
        <w:spacing w:line="500" w:lineRule="exact"/>
        <w:ind w:firstLine="560" w:firstLineChars="200"/>
        <w:rPr>
          <w:rFonts w:ascii="宋体" w:hAnsi="宋体"/>
          <w:sz w:val="28"/>
          <w:szCs w:val="28"/>
        </w:rPr>
      </w:pPr>
      <w:r>
        <w:rPr>
          <w:rFonts w:hint="eastAsia" w:ascii="宋体" w:hAnsi="宋体"/>
          <w:sz w:val="28"/>
          <w:szCs w:val="28"/>
        </w:rPr>
        <w:t>2、按照公益一类事业单位管理要求，建立健全各项财务管理与招标采购制度。</w:t>
      </w:r>
    </w:p>
    <w:p>
      <w:pPr>
        <w:spacing w:line="500" w:lineRule="exact"/>
        <w:ind w:firstLine="560" w:firstLineChars="200"/>
        <w:rPr>
          <w:rFonts w:ascii="宋体" w:hAnsi="宋体"/>
          <w:sz w:val="28"/>
          <w:szCs w:val="28"/>
        </w:rPr>
      </w:pPr>
      <w:r>
        <w:rPr>
          <w:rFonts w:hint="eastAsia" w:ascii="宋体" w:hAnsi="宋体"/>
          <w:sz w:val="28"/>
          <w:szCs w:val="28"/>
        </w:rPr>
        <w:t>3、加强培训学习，提高专业素养。</w:t>
      </w:r>
    </w:p>
    <w:p>
      <w:pPr>
        <w:widowControl/>
        <w:spacing w:line="600" w:lineRule="exact"/>
        <w:ind w:firstLine="645"/>
        <w:jc w:val="left"/>
        <w:rPr>
          <w:rFonts w:ascii="Times New Roman" w:hAnsi="Times New Roman" w:eastAsia="黑体"/>
          <w:sz w:val="32"/>
          <w:szCs w:val="32"/>
        </w:rPr>
      </w:pPr>
      <w:r>
        <w:rPr>
          <w:rFonts w:ascii="Times New Roman" w:hAnsi="Times New Roman" w:eastAsia="黑体"/>
          <w:sz w:val="32"/>
          <w:szCs w:val="32"/>
        </w:rPr>
        <w:t>九、</w:t>
      </w:r>
      <w:r>
        <w:rPr>
          <w:rFonts w:hint="eastAsia" w:ascii="Times New Roman" w:hAnsi="Times New Roman" w:eastAsia="黑体"/>
          <w:sz w:val="32"/>
          <w:szCs w:val="32"/>
        </w:rPr>
        <w:t>部门整体支出</w:t>
      </w:r>
      <w:r>
        <w:rPr>
          <w:rFonts w:ascii="Times New Roman" w:hAnsi="Times New Roman" w:eastAsia="黑体"/>
          <w:sz w:val="32"/>
          <w:szCs w:val="32"/>
        </w:rPr>
        <w:t>绩效自评结果拟应用和公开情况</w:t>
      </w:r>
    </w:p>
    <w:p>
      <w:pPr>
        <w:spacing w:line="500" w:lineRule="exact"/>
        <w:ind w:firstLine="560" w:firstLineChars="200"/>
        <w:rPr>
          <w:rFonts w:ascii="宋体" w:hAnsi="宋体"/>
          <w:sz w:val="28"/>
          <w:szCs w:val="28"/>
        </w:rPr>
      </w:pPr>
      <w:r>
        <w:rPr>
          <w:rFonts w:hint="eastAsia" w:ascii="宋体" w:hAnsi="宋体"/>
          <w:sz w:val="28"/>
          <w:szCs w:val="28"/>
        </w:rPr>
        <w:t>每年职代会财务报告公开全部情况</w:t>
      </w:r>
    </w:p>
    <w:p>
      <w:pPr>
        <w:widowControl/>
        <w:spacing w:line="600" w:lineRule="exact"/>
        <w:ind w:firstLine="645"/>
        <w:jc w:val="left"/>
        <w:rPr>
          <w:rFonts w:ascii="Times New Roman" w:hAnsi="Times New Roman" w:eastAsia="黑体"/>
          <w:sz w:val="32"/>
          <w:szCs w:val="32"/>
        </w:rPr>
      </w:pPr>
      <w:r>
        <w:rPr>
          <w:rFonts w:ascii="Times New Roman" w:hAnsi="Times New Roman" w:eastAsia="黑体"/>
          <w:sz w:val="32"/>
          <w:szCs w:val="32"/>
        </w:rPr>
        <w:t>十、其他需要说明的情况</w:t>
      </w:r>
    </w:p>
    <w:p>
      <w:pPr>
        <w:pStyle w:val="10"/>
        <w:jc w:val="center"/>
        <w:rPr>
          <w:sz w:val="72"/>
          <w:szCs w:val="72"/>
        </w:rPr>
      </w:pPr>
      <w:r>
        <w:rPr>
          <w:rFonts w:ascii="Times New Roman" w:hAnsi="Times New Roman" w:eastAsia="仿宋_GB2312"/>
          <w:sz w:val="32"/>
          <w:szCs w:val="32"/>
        </w:rPr>
        <w:t xml:space="preserve"> </w:t>
      </w:r>
      <w:r>
        <w:rPr>
          <w:rFonts w:hint="eastAsia" w:ascii="Times New Roman" w:hAnsi="Times New Roman" w:eastAsia="仿宋_GB2312"/>
          <w:sz w:val="32"/>
          <w:szCs w:val="32"/>
        </w:rPr>
        <w:t>无</w:t>
      </w: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BCB3ED3"/>
    <w:multiLevelType w:val="multilevel"/>
    <w:tmpl w:val="5BCB3ED3"/>
    <w:lvl w:ilvl="0" w:tentative="0">
      <w:start w:val="1"/>
      <w:numFmt w:val="japaneseCounting"/>
      <w:lvlText w:val="（%1）"/>
      <w:lvlJc w:val="left"/>
      <w:pPr>
        <w:ind w:left="1720" w:hanging="1080"/>
      </w:pPr>
      <w:rPr>
        <w:rFonts w:hint="default" w:ascii="Times New Roman" w:hAnsi="Times New Roman" w:cs="Times New Roman"/>
      </w:rPr>
    </w:lvl>
    <w:lvl w:ilvl="1" w:tentative="0">
      <w:start w:val="1"/>
      <w:numFmt w:val="lowerLetter"/>
      <w:lvlText w:val="%2)"/>
      <w:lvlJc w:val="left"/>
      <w:pPr>
        <w:ind w:left="1480" w:hanging="420"/>
      </w:pPr>
      <w:rPr>
        <w:rFonts w:hint="default" w:ascii="Times New Roman" w:hAnsi="Times New Roman" w:cs="Times New Roman"/>
      </w:rPr>
    </w:lvl>
    <w:lvl w:ilvl="2" w:tentative="0">
      <w:start w:val="1"/>
      <w:numFmt w:val="lowerRoman"/>
      <w:lvlText w:val="%3."/>
      <w:lvlJc w:val="right"/>
      <w:pPr>
        <w:ind w:left="1900" w:hanging="420"/>
      </w:pPr>
      <w:rPr>
        <w:rFonts w:hint="default" w:ascii="Times New Roman" w:hAnsi="Times New Roman" w:cs="Times New Roman"/>
      </w:rPr>
    </w:lvl>
    <w:lvl w:ilvl="3" w:tentative="0">
      <w:start w:val="1"/>
      <w:numFmt w:val="decimal"/>
      <w:lvlText w:val="%4."/>
      <w:lvlJc w:val="left"/>
      <w:pPr>
        <w:ind w:left="2320" w:hanging="420"/>
      </w:pPr>
      <w:rPr>
        <w:rFonts w:hint="default" w:ascii="Times New Roman" w:hAnsi="Times New Roman" w:cs="Times New Roman"/>
      </w:rPr>
    </w:lvl>
    <w:lvl w:ilvl="4" w:tentative="0">
      <w:start w:val="1"/>
      <w:numFmt w:val="lowerLetter"/>
      <w:lvlText w:val="%5)"/>
      <w:lvlJc w:val="left"/>
      <w:pPr>
        <w:ind w:left="2740" w:hanging="420"/>
      </w:pPr>
      <w:rPr>
        <w:rFonts w:hint="default" w:ascii="Times New Roman" w:hAnsi="Times New Roman" w:cs="Times New Roman"/>
      </w:rPr>
    </w:lvl>
    <w:lvl w:ilvl="5" w:tentative="0">
      <w:start w:val="1"/>
      <w:numFmt w:val="lowerRoman"/>
      <w:lvlText w:val="%6."/>
      <w:lvlJc w:val="right"/>
      <w:pPr>
        <w:ind w:left="3160" w:hanging="420"/>
      </w:pPr>
      <w:rPr>
        <w:rFonts w:hint="default" w:ascii="Times New Roman" w:hAnsi="Times New Roman" w:cs="Times New Roman"/>
      </w:rPr>
    </w:lvl>
    <w:lvl w:ilvl="6" w:tentative="0">
      <w:start w:val="1"/>
      <w:numFmt w:val="decimal"/>
      <w:lvlText w:val="%7."/>
      <w:lvlJc w:val="left"/>
      <w:pPr>
        <w:ind w:left="3580" w:hanging="420"/>
      </w:pPr>
      <w:rPr>
        <w:rFonts w:hint="default" w:ascii="Times New Roman" w:hAnsi="Times New Roman" w:cs="Times New Roman"/>
      </w:rPr>
    </w:lvl>
    <w:lvl w:ilvl="7" w:tentative="0">
      <w:start w:val="1"/>
      <w:numFmt w:val="lowerLetter"/>
      <w:lvlText w:val="%8)"/>
      <w:lvlJc w:val="left"/>
      <w:pPr>
        <w:ind w:left="4000" w:hanging="420"/>
      </w:pPr>
      <w:rPr>
        <w:rFonts w:hint="default" w:ascii="Times New Roman" w:hAnsi="Times New Roman" w:cs="Times New Roman"/>
      </w:rPr>
    </w:lvl>
    <w:lvl w:ilvl="8" w:tentative="0">
      <w:start w:val="1"/>
      <w:numFmt w:val="lowerRoman"/>
      <w:lvlText w:val="%9."/>
      <w:lvlJc w:val="right"/>
      <w:pPr>
        <w:ind w:left="4420" w:hanging="420"/>
      </w:pPr>
      <w:rPr>
        <w:rFonts w:hint="default" w:ascii="Times New Roman" w:hAnsi="Times New Roman" w:cs="Times New Roman"/>
      </w:rPr>
    </w:lvl>
  </w:abstractNum>
  <w:abstractNum w:abstractNumId="2">
    <w:nsid w:val="7CC01410"/>
    <w:multiLevelType w:val="multilevel"/>
    <w:tmpl w:val="7CC01410"/>
    <w:lvl w:ilvl="0" w:tentative="0">
      <w:start w:val="1"/>
      <w:numFmt w:val="japaneseCounting"/>
      <w:lvlText w:val="%1、"/>
      <w:lvlJc w:val="left"/>
      <w:pPr>
        <w:ind w:left="1360" w:hanging="720"/>
      </w:pPr>
      <w:rPr>
        <w:rFonts w:hint="default" w:ascii="Times New Roman" w:hAnsi="Times New Roman" w:cs="Times New Roman"/>
      </w:rPr>
    </w:lvl>
    <w:lvl w:ilvl="1" w:tentative="0">
      <w:start w:val="1"/>
      <w:numFmt w:val="lowerLetter"/>
      <w:lvlText w:val="%2)"/>
      <w:lvlJc w:val="left"/>
      <w:pPr>
        <w:ind w:left="1480" w:hanging="420"/>
      </w:pPr>
      <w:rPr>
        <w:rFonts w:hint="default" w:ascii="Times New Roman" w:hAnsi="Times New Roman" w:cs="Times New Roman"/>
      </w:rPr>
    </w:lvl>
    <w:lvl w:ilvl="2" w:tentative="0">
      <w:start w:val="1"/>
      <w:numFmt w:val="lowerRoman"/>
      <w:lvlText w:val="%3."/>
      <w:lvlJc w:val="right"/>
      <w:pPr>
        <w:ind w:left="1900" w:hanging="420"/>
      </w:pPr>
      <w:rPr>
        <w:rFonts w:hint="default" w:ascii="Times New Roman" w:hAnsi="Times New Roman" w:cs="Times New Roman"/>
      </w:rPr>
    </w:lvl>
    <w:lvl w:ilvl="3" w:tentative="0">
      <w:start w:val="1"/>
      <w:numFmt w:val="decimal"/>
      <w:lvlText w:val="%4."/>
      <w:lvlJc w:val="left"/>
      <w:pPr>
        <w:ind w:left="2320" w:hanging="420"/>
      </w:pPr>
      <w:rPr>
        <w:rFonts w:hint="default" w:ascii="Times New Roman" w:hAnsi="Times New Roman" w:cs="Times New Roman"/>
      </w:rPr>
    </w:lvl>
    <w:lvl w:ilvl="4" w:tentative="0">
      <w:start w:val="1"/>
      <w:numFmt w:val="lowerLetter"/>
      <w:lvlText w:val="%5)"/>
      <w:lvlJc w:val="left"/>
      <w:pPr>
        <w:ind w:left="2740" w:hanging="420"/>
      </w:pPr>
      <w:rPr>
        <w:rFonts w:hint="default" w:ascii="Times New Roman" w:hAnsi="Times New Roman" w:cs="Times New Roman"/>
      </w:rPr>
    </w:lvl>
    <w:lvl w:ilvl="5" w:tentative="0">
      <w:start w:val="1"/>
      <w:numFmt w:val="lowerRoman"/>
      <w:lvlText w:val="%6."/>
      <w:lvlJc w:val="right"/>
      <w:pPr>
        <w:ind w:left="3160" w:hanging="420"/>
      </w:pPr>
      <w:rPr>
        <w:rFonts w:hint="default" w:ascii="Times New Roman" w:hAnsi="Times New Roman" w:cs="Times New Roman"/>
      </w:rPr>
    </w:lvl>
    <w:lvl w:ilvl="6" w:tentative="0">
      <w:start w:val="1"/>
      <w:numFmt w:val="decimal"/>
      <w:lvlText w:val="%7."/>
      <w:lvlJc w:val="left"/>
      <w:pPr>
        <w:ind w:left="3580" w:hanging="420"/>
      </w:pPr>
      <w:rPr>
        <w:rFonts w:hint="default" w:ascii="Times New Roman" w:hAnsi="Times New Roman" w:cs="Times New Roman"/>
      </w:rPr>
    </w:lvl>
    <w:lvl w:ilvl="7" w:tentative="0">
      <w:start w:val="1"/>
      <w:numFmt w:val="lowerLetter"/>
      <w:lvlText w:val="%8)"/>
      <w:lvlJc w:val="left"/>
      <w:pPr>
        <w:ind w:left="4000" w:hanging="420"/>
      </w:pPr>
      <w:rPr>
        <w:rFonts w:hint="default" w:ascii="Times New Roman" w:hAnsi="Times New Roman" w:cs="Times New Roman"/>
      </w:rPr>
    </w:lvl>
    <w:lvl w:ilvl="8" w:tentative="0">
      <w:start w:val="1"/>
      <w:numFmt w:val="lowerRoman"/>
      <w:lvlText w:val="%9."/>
      <w:lvlJc w:val="right"/>
      <w:pPr>
        <w:ind w:left="4420" w:hanging="420"/>
      </w:pPr>
      <w:rPr>
        <w:rFonts w:hint="default" w:ascii="Times New Roman" w:hAnsi="Times New Roman" w:cs="Times New Roman"/>
      </w:rPr>
    </w:lvl>
  </w:abstractNum>
  <w:abstractNum w:abstractNumId="3">
    <w:nsid w:val="7F8736DA"/>
    <w:multiLevelType w:val="multilevel"/>
    <w:tmpl w:val="7F8736DA"/>
    <w:lvl w:ilvl="0" w:tentative="0">
      <w:start w:val="7"/>
      <w:numFmt w:val="japaneseCounting"/>
      <w:lvlText w:val="%1、"/>
      <w:lvlJc w:val="left"/>
      <w:pPr>
        <w:ind w:left="1360" w:hanging="720"/>
      </w:pPr>
      <w:rPr>
        <w:rFonts w:hint="default" w:ascii="Times New Roman" w:hAnsi="Times New Roman" w:cs="Times New Roman"/>
      </w:rPr>
    </w:lvl>
    <w:lvl w:ilvl="1" w:tentative="0">
      <w:start w:val="1"/>
      <w:numFmt w:val="lowerLetter"/>
      <w:lvlText w:val="%2)"/>
      <w:lvlJc w:val="left"/>
      <w:pPr>
        <w:ind w:left="1480" w:hanging="420"/>
      </w:pPr>
      <w:rPr>
        <w:rFonts w:hint="default" w:ascii="Times New Roman" w:hAnsi="Times New Roman" w:cs="Times New Roman"/>
      </w:rPr>
    </w:lvl>
    <w:lvl w:ilvl="2" w:tentative="0">
      <w:start w:val="1"/>
      <w:numFmt w:val="lowerRoman"/>
      <w:lvlText w:val="%3."/>
      <w:lvlJc w:val="right"/>
      <w:pPr>
        <w:ind w:left="1900" w:hanging="420"/>
      </w:pPr>
      <w:rPr>
        <w:rFonts w:hint="default" w:ascii="Times New Roman" w:hAnsi="Times New Roman" w:cs="Times New Roman"/>
      </w:rPr>
    </w:lvl>
    <w:lvl w:ilvl="3" w:tentative="0">
      <w:start w:val="1"/>
      <w:numFmt w:val="decimal"/>
      <w:lvlText w:val="%4."/>
      <w:lvlJc w:val="left"/>
      <w:pPr>
        <w:ind w:left="2320" w:hanging="420"/>
      </w:pPr>
      <w:rPr>
        <w:rFonts w:hint="default" w:ascii="Times New Roman" w:hAnsi="Times New Roman" w:cs="Times New Roman"/>
      </w:rPr>
    </w:lvl>
    <w:lvl w:ilvl="4" w:tentative="0">
      <w:start w:val="1"/>
      <w:numFmt w:val="lowerLetter"/>
      <w:lvlText w:val="%5)"/>
      <w:lvlJc w:val="left"/>
      <w:pPr>
        <w:ind w:left="2740" w:hanging="420"/>
      </w:pPr>
      <w:rPr>
        <w:rFonts w:hint="default" w:ascii="Times New Roman" w:hAnsi="Times New Roman" w:cs="Times New Roman"/>
      </w:rPr>
    </w:lvl>
    <w:lvl w:ilvl="5" w:tentative="0">
      <w:start w:val="1"/>
      <w:numFmt w:val="lowerRoman"/>
      <w:lvlText w:val="%6."/>
      <w:lvlJc w:val="right"/>
      <w:pPr>
        <w:ind w:left="3160" w:hanging="420"/>
      </w:pPr>
      <w:rPr>
        <w:rFonts w:hint="default" w:ascii="Times New Roman" w:hAnsi="Times New Roman" w:cs="Times New Roman"/>
      </w:rPr>
    </w:lvl>
    <w:lvl w:ilvl="6" w:tentative="0">
      <w:start w:val="1"/>
      <w:numFmt w:val="decimal"/>
      <w:lvlText w:val="%7."/>
      <w:lvlJc w:val="left"/>
      <w:pPr>
        <w:ind w:left="3580" w:hanging="420"/>
      </w:pPr>
      <w:rPr>
        <w:rFonts w:hint="default" w:ascii="Times New Roman" w:hAnsi="Times New Roman" w:cs="Times New Roman"/>
      </w:rPr>
    </w:lvl>
    <w:lvl w:ilvl="7" w:tentative="0">
      <w:start w:val="1"/>
      <w:numFmt w:val="lowerLetter"/>
      <w:lvlText w:val="%8)"/>
      <w:lvlJc w:val="left"/>
      <w:pPr>
        <w:ind w:left="4000" w:hanging="420"/>
      </w:pPr>
      <w:rPr>
        <w:rFonts w:hint="default" w:ascii="Times New Roman" w:hAnsi="Times New Roman" w:cs="Times New Roman"/>
      </w:rPr>
    </w:lvl>
    <w:lvl w:ilvl="8" w:tentative="0">
      <w:start w:val="1"/>
      <w:numFmt w:val="lowerRoman"/>
      <w:lvlText w:val="%9."/>
      <w:lvlJc w:val="right"/>
      <w:pPr>
        <w:ind w:left="4420" w:hanging="420"/>
      </w:pPr>
      <w:rPr>
        <w:rFonts w:hint="default" w:ascii="Times New Roman" w:hAnsi="Times New Roman" w:cs="Times New Roman"/>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xYmMyMjY2ZjkyNjUwNDVjMGNlMjZjMzEzMGYwOTEifQ=="/>
  </w:docVars>
  <w:rsids>
    <w:rsidRoot w:val="004506F9"/>
    <w:rsid w:val="000001F3"/>
    <w:rsid w:val="00013FC1"/>
    <w:rsid w:val="00016BB6"/>
    <w:rsid w:val="0002229B"/>
    <w:rsid w:val="00022DDC"/>
    <w:rsid w:val="000273BD"/>
    <w:rsid w:val="000415B7"/>
    <w:rsid w:val="00041A2D"/>
    <w:rsid w:val="00041E3F"/>
    <w:rsid w:val="0005354E"/>
    <w:rsid w:val="00055DAA"/>
    <w:rsid w:val="00061F7B"/>
    <w:rsid w:val="000658A3"/>
    <w:rsid w:val="00074155"/>
    <w:rsid w:val="0008098E"/>
    <w:rsid w:val="00080B48"/>
    <w:rsid w:val="000945E1"/>
    <w:rsid w:val="000A3F69"/>
    <w:rsid w:val="000A67D1"/>
    <w:rsid w:val="000D42F9"/>
    <w:rsid w:val="000F3642"/>
    <w:rsid w:val="00103957"/>
    <w:rsid w:val="00106902"/>
    <w:rsid w:val="001346D9"/>
    <w:rsid w:val="00140D6C"/>
    <w:rsid w:val="001500ED"/>
    <w:rsid w:val="00152C6D"/>
    <w:rsid w:val="00162D39"/>
    <w:rsid w:val="00164691"/>
    <w:rsid w:val="001678BD"/>
    <w:rsid w:val="001A0810"/>
    <w:rsid w:val="001A67DB"/>
    <w:rsid w:val="001B03A4"/>
    <w:rsid w:val="001B1803"/>
    <w:rsid w:val="001C01DB"/>
    <w:rsid w:val="001C14C4"/>
    <w:rsid w:val="001C3C29"/>
    <w:rsid w:val="001C6D41"/>
    <w:rsid w:val="001C7C66"/>
    <w:rsid w:val="001D1BD0"/>
    <w:rsid w:val="001D51E5"/>
    <w:rsid w:val="001E080D"/>
    <w:rsid w:val="001E53D0"/>
    <w:rsid w:val="001F0C3B"/>
    <w:rsid w:val="00202C82"/>
    <w:rsid w:val="00214427"/>
    <w:rsid w:val="00214473"/>
    <w:rsid w:val="00217C9F"/>
    <w:rsid w:val="00226CB7"/>
    <w:rsid w:val="00227ABB"/>
    <w:rsid w:val="00264552"/>
    <w:rsid w:val="00264EF9"/>
    <w:rsid w:val="00264F81"/>
    <w:rsid w:val="00265724"/>
    <w:rsid w:val="0027426B"/>
    <w:rsid w:val="002767FA"/>
    <w:rsid w:val="00284D81"/>
    <w:rsid w:val="002A76D3"/>
    <w:rsid w:val="002C7832"/>
    <w:rsid w:val="002C78EA"/>
    <w:rsid w:val="002E0A30"/>
    <w:rsid w:val="002E0DC9"/>
    <w:rsid w:val="002F77D3"/>
    <w:rsid w:val="002F7E13"/>
    <w:rsid w:val="003000ED"/>
    <w:rsid w:val="003130C4"/>
    <w:rsid w:val="00316C4B"/>
    <w:rsid w:val="0032192B"/>
    <w:rsid w:val="003479BD"/>
    <w:rsid w:val="0037197D"/>
    <w:rsid w:val="003768D5"/>
    <w:rsid w:val="00381A14"/>
    <w:rsid w:val="00394F4C"/>
    <w:rsid w:val="00395852"/>
    <w:rsid w:val="003B5A2F"/>
    <w:rsid w:val="003C47E6"/>
    <w:rsid w:val="003C4FC2"/>
    <w:rsid w:val="003E2543"/>
    <w:rsid w:val="003F72B3"/>
    <w:rsid w:val="00410D44"/>
    <w:rsid w:val="00416E61"/>
    <w:rsid w:val="00421B63"/>
    <w:rsid w:val="00422816"/>
    <w:rsid w:val="0042790C"/>
    <w:rsid w:val="00430162"/>
    <w:rsid w:val="004506F9"/>
    <w:rsid w:val="00451369"/>
    <w:rsid w:val="00457EA3"/>
    <w:rsid w:val="004717A2"/>
    <w:rsid w:val="00473DF3"/>
    <w:rsid w:val="00474304"/>
    <w:rsid w:val="00486CAA"/>
    <w:rsid w:val="00487911"/>
    <w:rsid w:val="00491741"/>
    <w:rsid w:val="0049229C"/>
    <w:rsid w:val="004A2071"/>
    <w:rsid w:val="004A246E"/>
    <w:rsid w:val="004A392D"/>
    <w:rsid w:val="004A419A"/>
    <w:rsid w:val="004C41CF"/>
    <w:rsid w:val="004D157D"/>
    <w:rsid w:val="004D37E6"/>
    <w:rsid w:val="004D63BB"/>
    <w:rsid w:val="004F2611"/>
    <w:rsid w:val="004F7734"/>
    <w:rsid w:val="00500E5F"/>
    <w:rsid w:val="00502391"/>
    <w:rsid w:val="005049DA"/>
    <w:rsid w:val="005122EF"/>
    <w:rsid w:val="0051441A"/>
    <w:rsid w:val="00517C33"/>
    <w:rsid w:val="00523644"/>
    <w:rsid w:val="005254B0"/>
    <w:rsid w:val="00525C13"/>
    <w:rsid w:val="00535A91"/>
    <w:rsid w:val="0054069E"/>
    <w:rsid w:val="00544866"/>
    <w:rsid w:val="00551266"/>
    <w:rsid w:val="005767CC"/>
    <w:rsid w:val="00586A29"/>
    <w:rsid w:val="00590D9F"/>
    <w:rsid w:val="00594299"/>
    <w:rsid w:val="00595D26"/>
    <w:rsid w:val="005A4B9F"/>
    <w:rsid w:val="005A74E6"/>
    <w:rsid w:val="005B404E"/>
    <w:rsid w:val="005C2866"/>
    <w:rsid w:val="005D0F5F"/>
    <w:rsid w:val="005D119D"/>
    <w:rsid w:val="005D4D55"/>
    <w:rsid w:val="005E2CFB"/>
    <w:rsid w:val="005F3D1C"/>
    <w:rsid w:val="00601569"/>
    <w:rsid w:val="0062378F"/>
    <w:rsid w:val="00641842"/>
    <w:rsid w:val="0064617B"/>
    <w:rsid w:val="00651EEC"/>
    <w:rsid w:val="00676027"/>
    <w:rsid w:val="00677E26"/>
    <w:rsid w:val="00686673"/>
    <w:rsid w:val="00691E8C"/>
    <w:rsid w:val="006A22C4"/>
    <w:rsid w:val="006A351B"/>
    <w:rsid w:val="006A5A70"/>
    <w:rsid w:val="006A6E55"/>
    <w:rsid w:val="006B0422"/>
    <w:rsid w:val="006C1B53"/>
    <w:rsid w:val="006C30F3"/>
    <w:rsid w:val="006D39A2"/>
    <w:rsid w:val="006D7730"/>
    <w:rsid w:val="006D793B"/>
    <w:rsid w:val="006E5284"/>
    <w:rsid w:val="006F3EB5"/>
    <w:rsid w:val="006F740B"/>
    <w:rsid w:val="00702E34"/>
    <w:rsid w:val="00704395"/>
    <w:rsid w:val="00717621"/>
    <w:rsid w:val="00720FF1"/>
    <w:rsid w:val="0072263E"/>
    <w:rsid w:val="00727A53"/>
    <w:rsid w:val="00756EB5"/>
    <w:rsid w:val="007604E4"/>
    <w:rsid w:val="00772079"/>
    <w:rsid w:val="007733F1"/>
    <w:rsid w:val="007759C2"/>
    <w:rsid w:val="00787B42"/>
    <w:rsid w:val="007B68E9"/>
    <w:rsid w:val="007C05B3"/>
    <w:rsid w:val="007C4539"/>
    <w:rsid w:val="007D4CDD"/>
    <w:rsid w:val="007F17D8"/>
    <w:rsid w:val="007F3657"/>
    <w:rsid w:val="007F36B2"/>
    <w:rsid w:val="007F4416"/>
    <w:rsid w:val="00803E41"/>
    <w:rsid w:val="00812ED5"/>
    <w:rsid w:val="008137F6"/>
    <w:rsid w:val="008161F5"/>
    <w:rsid w:val="0082105F"/>
    <w:rsid w:val="008277D9"/>
    <w:rsid w:val="008303A5"/>
    <w:rsid w:val="008334DD"/>
    <w:rsid w:val="0084478C"/>
    <w:rsid w:val="00845BBF"/>
    <w:rsid w:val="008617F4"/>
    <w:rsid w:val="00863F77"/>
    <w:rsid w:val="0086638C"/>
    <w:rsid w:val="00871C14"/>
    <w:rsid w:val="00882F24"/>
    <w:rsid w:val="008A3E8D"/>
    <w:rsid w:val="008C28D3"/>
    <w:rsid w:val="008E643C"/>
    <w:rsid w:val="008F5ABA"/>
    <w:rsid w:val="009021DF"/>
    <w:rsid w:val="009063D7"/>
    <w:rsid w:val="00915B87"/>
    <w:rsid w:val="009237C4"/>
    <w:rsid w:val="009336F2"/>
    <w:rsid w:val="009343D4"/>
    <w:rsid w:val="00937A7C"/>
    <w:rsid w:val="00941B12"/>
    <w:rsid w:val="00942493"/>
    <w:rsid w:val="00944C48"/>
    <w:rsid w:val="0094528C"/>
    <w:rsid w:val="00950252"/>
    <w:rsid w:val="00950EA5"/>
    <w:rsid w:val="00967F5D"/>
    <w:rsid w:val="0098595C"/>
    <w:rsid w:val="009956D2"/>
    <w:rsid w:val="00996EAD"/>
    <w:rsid w:val="009A0117"/>
    <w:rsid w:val="009A0921"/>
    <w:rsid w:val="009A0F95"/>
    <w:rsid w:val="009B3ADF"/>
    <w:rsid w:val="009C3B52"/>
    <w:rsid w:val="009E6817"/>
    <w:rsid w:val="009E6E9A"/>
    <w:rsid w:val="009F73AA"/>
    <w:rsid w:val="00A01D2B"/>
    <w:rsid w:val="00A170B9"/>
    <w:rsid w:val="00A17CBB"/>
    <w:rsid w:val="00A23C51"/>
    <w:rsid w:val="00A24698"/>
    <w:rsid w:val="00A24C69"/>
    <w:rsid w:val="00A42218"/>
    <w:rsid w:val="00A542DF"/>
    <w:rsid w:val="00A62E51"/>
    <w:rsid w:val="00A64750"/>
    <w:rsid w:val="00A70249"/>
    <w:rsid w:val="00A70B02"/>
    <w:rsid w:val="00A71B83"/>
    <w:rsid w:val="00A71D9F"/>
    <w:rsid w:val="00A92E9F"/>
    <w:rsid w:val="00AB4E7C"/>
    <w:rsid w:val="00AD55E4"/>
    <w:rsid w:val="00AE1C8F"/>
    <w:rsid w:val="00B10E31"/>
    <w:rsid w:val="00B175E4"/>
    <w:rsid w:val="00B33BEA"/>
    <w:rsid w:val="00B37ED7"/>
    <w:rsid w:val="00B55921"/>
    <w:rsid w:val="00B57C9F"/>
    <w:rsid w:val="00B63572"/>
    <w:rsid w:val="00B76EA7"/>
    <w:rsid w:val="00B845B3"/>
    <w:rsid w:val="00B85D8B"/>
    <w:rsid w:val="00BB4A40"/>
    <w:rsid w:val="00BB5CF5"/>
    <w:rsid w:val="00BC107B"/>
    <w:rsid w:val="00BD5917"/>
    <w:rsid w:val="00BD6C3E"/>
    <w:rsid w:val="00BD7111"/>
    <w:rsid w:val="00BE2AF8"/>
    <w:rsid w:val="00BE3674"/>
    <w:rsid w:val="00BF429A"/>
    <w:rsid w:val="00C10681"/>
    <w:rsid w:val="00C3049A"/>
    <w:rsid w:val="00C31B1E"/>
    <w:rsid w:val="00C35BF8"/>
    <w:rsid w:val="00C64EA8"/>
    <w:rsid w:val="00C77645"/>
    <w:rsid w:val="00C96CFC"/>
    <w:rsid w:val="00CC3988"/>
    <w:rsid w:val="00CE04C3"/>
    <w:rsid w:val="00CE5694"/>
    <w:rsid w:val="00CE6C53"/>
    <w:rsid w:val="00CE76A0"/>
    <w:rsid w:val="00D148C6"/>
    <w:rsid w:val="00D17A8A"/>
    <w:rsid w:val="00D207A5"/>
    <w:rsid w:val="00D415BA"/>
    <w:rsid w:val="00D60273"/>
    <w:rsid w:val="00D644EE"/>
    <w:rsid w:val="00D96A22"/>
    <w:rsid w:val="00DA345E"/>
    <w:rsid w:val="00DB75B6"/>
    <w:rsid w:val="00DD06FF"/>
    <w:rsid w:val="00DD5FE9"/>
    <w:rsid w:val="00DF52DE"/>
    <w:rsid w:val="00E00C7A"/>
    <w:rsid w:val="00E05296"/>
    <w:rsid w:val="00E15F86"/>
    <w:rsid w:val="00E21C8E"/>
    <w:rsid w:val="00E24136"/>
    <w:rsid w:val="00E30292"/>
    <w:rsid w:val="00E37D6C"/>
    <w:rsid w:val="00E45E98"/>
    <w:rsid w:val="00E474BD"/>
    <w:rsid w:val="00E53C69"/>
    <w:rsid w:val="00E55B68"/>
    <w:rsid w:val="00E61EE7"/>
    <w:rsid w:val="00E67BE6"/>
    <w:rsid w:val="00E71682"/>
    <w:rsid w:val="00E73DF0"/>
    <w:rsid w:val="00E8683C"/>
    <w:rsid w:val="00EA2B72"/>
    <w:rsid w:val="00EA76F5"/>
    <w:rsid w:val="00EC4E51"/>
    <w:rsid w:val="00ED285C"/>
    <w:rsid w:val="00EF66E0"/>
    <w:rsid w:val="00F1454A"/>
    <w:rsid w:val="00F368DE"/>
    <w:rsid w:val="00F5257F"/>
    <w:rsid w:val="00F61518"/>
    <w:rsid w:val="00F65F30"/>
    <w:rsid w:val="00F74360"/>
    <w:rsid w:val="00F751D1"/>
    <w:rsid w:val="00F87868"/>
    <w:rsid w:val="00F970F9"/>
    <w:rsid w:val="00FB462F"/>
    <w:rsid w:val="00FC3607"/>
    <w:rsid w:val="00FD2147"/>
    <w:rsid w:val="00FE16FA"/>
    <w:rsid w:val="00FE328A"/>
    <w:rsid w:val="00FE6269"/>
    <w:rsid w:val="00FF5CD6"/>
    <w:rsid w:val="1D4C1D84"/>
    <w:rsid w:val="357B6B75"/>
    <w:rsid w:val="36E04954"/>
    <w:rsid w:val="512D3962"/>
    <w:rsid w:val="57083613"/>
    <w:rsid w:val="7AC63BDC"/>
    <w:rsid w:val="EBE7E7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0"/>
    <w:pPr>
      <w:jc w:val="left"/>
    </w:pPr>
    <w:rPr>
      <w:rFonts w:ascii="Times New Roman" w:hAnsi="Times New Roman" w:eastAsia="宋体" w:cs="Times New Roman"/>
      <w:szCs w:val="24"/>
    </w:r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3"/>
    <w:semiHidden/>
    <w:qFormat/>
    <w:uiPriority w:val="99"/>
    <w:rPr>
      <w:sz w:val="18"/>
      <w:szCs w:val="18"/>
    </w:rPr>
  </w:style>
  <w:style w:type="character" w:customStyle="1" w:styleId="13">
    <w:name w:val="批注文字 Char"/>
    <w:basedOn w:val="7"/>
    <w:link w:val="2"/>
    <w:qFormat/>
    <w:uiPriority w:val="0"/>
    <w:rPr>
      <w:kern w:val="2"/>
      <w:sz w:val="21"/>
      <w:szCs w:val="24"/>
    </w:rPr>
  </w:style>
  <w:style w:type="paragraph" w:customStyle="1" w:styleId="14">
    <w:name w:val="_Style 3"/>
    <w:basedOn w:val="1"/>
    <w:qFormat/>
    <w:uiPriority w:val="99"/>
    <w:pPr>
      <w:ind w:firstLine="420" w:firstLineChars="200"/>
    </w:pPr>
    <w:rPr>
      <w:rFonts w:ascii="Calibri" w:hAnsi="Calibri"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38</Pages>
  <Words>15417</Words>
  <Characters>23907</Characters>
  <Lines>203</Lines>
  <Paragraphs>57</Paragraphs>
  <TotalTime>2</TotalTime>
  <ScaleCrop>false</ScaleCrop>
  <LinksUpToDate>false</LinksUpToDate>
  <CharactersWithSpaces>25689</CharactersWithSpaces>
  <Application>WPS Office_11.8.2.10195_F1E327BC-269C-435d-A152-05C5408002CA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2020-07-02T10:32:00Z</dcterms:created>
  <dc:creator>李航 null</dc:creator>
  <cp:lastModifiedBy>kylin</cp:lastModifiedBy>
  <cp:lastPrinted>2021-09-13T10:47:00Z</cp:lastPrinted>
  <dcterms:modified xsi:type="dcterms:W3CDTF">2023-10-09T10:49:00Z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y fmtid="{D5CDD505-2E9C-101B-9397-08002B2CF9AE}" pid="3" name="ICV">
    <vt:lpwstr>2E4F986018AE4FBAB28E52537EE7FB08_13</vt:lpwstr>
  </property>
</Properties>
</file>